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080E5" w14:textId="2E910399" w:rsidR="00063C82" w:rsidRPr="00063C82" w:rsidRDefault="00BB0E96" w:rsidP="00063C82">
      <w:pPr>
        <w:pStyle w:val="Title"/>
        <w:pBdr>
          <w:bottom w:val="single" w:sz="12" w:space="1" w:color="2F5496" w:themeColor="accent1" w:themeShade="BF"/>
        </w:pBdr>
      </w:pPr>
      <w:r>
        <w:t xml:space="preserve">Title: </w:t>
      </w:r>
      <w:bookmarkStart w:id="0" w:name="_Hlk175737070"/>
      <w:r w:rsidR="00155D00" w:rsidRPr="00155D00">
        <w:t xml:space="preserve">Interventions for </w:t>
      </w:r>
      <w:r w:rsidR="00155D00" w:rsidRPr="00155D00">
        <w:rPr>
          <w:i/>
          <w:iCs/>
        </w:rPr>
        <w:t xml:space="preserve">Salmonella </w:t>
      </w:r>
      <w:r w:rsidR="00155D00" w:rsidRPr="00155D00">
        <w:t>contamination in raw poultry products during processing</w:t>
      </w:r>
      <w:bookmarkEnd w:id="0"/>
      <w:r w:rsidR="00155D00" w:rsidRPr="00155D00">
        <w:t xml:space="preserve">: </w:t>
      </w:r>
      <w:r w:rsidR="005B100C">
        <w:t>P</w:t>
      </w:r>
      <w:r w:rsidR="00225627">
        <w:t xml:space="preserve">rotocol for a </w:t>
      </w:r>
      <w:r w:rsidR="00155D00" w:rsidRPr="00155D00">
        <w:t>scoping review and evidence map</w:t>
      </w:r>
    </w:p>
    <w:p w14:paraId="7188B3E1" w14:textId="77777777" w:rsidR="00155D00" w:rsidRDefault="00155D00" w:rsidP="00063C82">
      <w:pPr>
        <w:pBdr>
          <w:bottom w:val="single" w:sz="12" w:space="1" w:color="2F5496" w:themeColor="accent1" w:themeShade="BF"/>
        </w:pBdr>
      </w:pPr>
    </w:p>
    <w:p w14:paraId="5623B27C" w14:textId="77777777" w:rsidR="00155D00" w:rsidRDefault="00155D00" w:rsidP="00BB0E96"/>
    <w:p w14:paraId="6358E45E" w14:textId="77777777" w:rsidR="00302ECB" w:rsidRPr="00063C82" w:rsidRDefault="00302ECB" w:rsidP="00302ECB">
      <w:pPr>
        <w:rPr>
          <w:b/>
          <w:bCs/>
          <w:color w:val="007BB8"/>
          <w:sz w:val="28"/>
          <w:szCs w:val="28"/>
        </w:rPr>
      </w:pPr>
      <w:r w:rsidRPr="00063C82">
        <w:rPr>
          <w:b/>
          <w:bCs/>
          <w:color w:val="007BB8"/>
          <w:sz w:val="28"/>
          <w:szCs w:val="28"/>
        </w:rPr>
        <w:t xml:space="preserve">Registration: </w:t>
      </w:r>
    </w:p>
    <w:p w14:paraId="66DD6F07" w14:textId="02787CD0" w:rsidR="00302ECB" w:rsidRPr="00ED6A64" w:rsidRDefault="00302ECB" w:rsidP="00302ECB">
      <w:r>
        <w:t>The protocol will be made available at Systematic Reviews for Animals and Food (SYREAF) (http://www.syreaf.org).</w:t>
      </w:r>
    </w:p>
    <w:p w14:paraId="2ED2736B" w14:textId="77777777" w:rsidR="00302ECB" w:rsidRDefault="00302ECB" w:rsidP="00BB0E96">
      <w:pPr>
        <w:rPr>
          <w:sz w:val="28"/>
          <w:szCs w:val="28"/>
        </w:rPr>
      </w:pPr>
    </w:p>
    <w:p w14:paraId="2B785242" w14:textId="76909A4A" w:rsidR="00302ECB" w:rsidRPr="00063C82" w:rsidRDefault="00DE71F0" w:rsidP="00BB0E96">
      <w:pPr>
        <w:rPr>
          <w:b/>
          <w:bCs/>
          <w:color w:val="007BB8"/>
          <w:sz w:val="28"/>
          <w:szCs w:val="28"/>
        </w:rPr>
      </w:pPr>
      <w:r w:rsidRPr="00063C82">
        <w:rPr>
          <w:b/>
          <w:bCs/>
          <w:color w:val="007BB8"/>
          <w:sz w:val="28"/>
          <w:szCs w:val="28"/>
        </w:rPr>
        <w:t>Authors</w:t>
      </w:r>
      <w:r w:rsidR="00E1715D" w:rsidRPr="00063C82">
        <w:rPr>
          <w:b/>
          <w:bCs/>
          <w:color w:val="007BB8"/>
          <w:sz w:val="28"/>
          <w:szCs w:val="28"/>
        </w:rPr>
        <w:t>:</w:t>
      </w:r>
    </w:p>
    <w:p w14:paraId="2E3C2927" w14:textId="094552B6" w:rsidR="00225627" w:rsidRPr="00232360" w:rsidRDefault="00225627" w:rsidP="00BB0E96">
      <w:pPr>
        <w:rPr>
          <w:szCs w:val="24"/>
        </w:rPr>
      </w:pPr>
      <w:r w:rsidRPr="00232360">
        <w:rPr>
          <w:szCs w:val="24"/>
        </w:rPr>
        <w:t>Annette M. O’Connor</w:t>
      </w:r>
      <w:r w:rsidRPr="00232360">
        <w:rPr>
          <w:szCs w:val="24"/>
          <w:vertAlign w:val="superscript"/>
        </w:rPr>
        <w:t>1</w:t>
      </w:r>
      <w:r w:rsidRPr="00232360">
        <w:rPr>
          <w:szCs w:val="24"/>
        </w:rPr>
        <w:t>*,</w:t>
      </w:r>
      <w:r w:rsidRPr="00232360">
        <w:rPr>
          <w:color w:val="FF0000"/>
          <w:szCs w:val="24"/>
        </w:rPr>
        <w:t xml:space="preserve"> </w:t>
      </w:r>
      <w:r w:rsidRPr="00232360">
        <w:rPr>
          <w:szCs w:val="24"/>
        </w:rPr>
        <w:t>Sarah C. Totton</w:t>
      </w:r>
      <w:r w:rsidRPr="00232360">
        <w:rPr>
          <w:szCs w:val="24"/>
          <w:vertAlign w:val="superscript"/>
        </w:rPr>
        <w:t>2</w:t>
      </w:r>
    </w:p>
    <w:p w14:paraId="7C718601" w14:textId="77777777" w:rsidR="00225627" w:rsidRDefault="00225627" w:rsidP="00BB0E96">
      <w:pPr>
        <w:rPr>
          <w:sz w:val="28"/>
          <w:szCs w:val="28"/>
        </w:rPr>
      </w:pPr>
    </w:p>
    <w:p w14:paraId="5B44AE05" w14:textId="0544B28D" w:rsidR="00155D00" w:rsidRDefault="00ED6A64" w:rsidP="00BB0E96">
      <w:r>
        <w:rPr>
          <w:vertAlign w:val="superscript"/>
        </w:rPr>
        <w:t xml:space="preserve">1 </w:t>
      </w:r>
      <w:r w:rsidRPr="00512C95">
        <w:t>Department of Large Animal Clinical Sciences</w:t>
      </w:r>
      <w:r w:rsidR="00225627" w:rsidRPr="00225627">
        <w:t>, College of Veterinary Medicine, Michigan State University, East Lansing, Michigan, 48824</w:t>
      </w:r>
      <w:r w:rsidR="00674DB3">
        <w:t xml:space="preserve"> United States of America, </w:t>
      </w:r>
      <w:r w:rsidR="00674DB3" w:rsidRPr="00674DB3">
        <w:t>oconn445@msu.edu</w:t>
      </w:r>
    </w:p>
    <w:p w14:paraId="68DADF13" w14:textId="4E2D5DE1" w:rsidR="00ED6A64" w:rsidRDefault="00ED6A64" w:rsidP="00BB0E96">
      <w:r w:rsidRPr="00512C95">
        <w:rPr>
          <w:vertAlign w:val="superscript"/>
        </w:rPr>
        <w:t xml:space="preserve">2 </w:t>
      </w:r>
      <w:r w:rsidRPr="00512C95">
        <w:t>Private consultant</w:t>
      </w:r>
      <w:r w:rsidR="00674DB3">
        <w:t>, sarah.totton@gmail.com</w:t>
      </w:r>
    </w:p>
    <w:p w14:paraId="39ECE1A3" w14:textId="77777777" w:rsidR="00D37335" w:rsidRDefault="00D37335" w:rsidP="00BB0E96"/>
    <w:p w14:paraId="266888F4" w14:textId="6886AB66" w:rsidR="00ED6A64" w:rsidRPr="00063C82" w:rsidRDefault="00D37335" w:rsidP="00BB0E96">
      <w:pPr>
        <w:rPr>
          <w:b/>
          <w:bCs/>
          <w:color w:val="007BB8"/>
          <w:sz w:val="28"/>
          <w:szCs w:val="28"/>
        </w:rPr>
      </w:pPr>
      <w:r w:rsidRPr="00063C82">
        <w:rPr>
          <w:b/>
          <w:bCs/>
          <w:color w:val="007BB8"/>
          <w:sz w:val="28"/>
          <w:szCs w:val="28"/>
        </w:rPr>
        <w:t>Author contributions</w:t>
      </w:r>
      <w:r w:rsidR="00E1715D" w:rsidRPr="00063C82">
        <w:rPr>
          <w:b/>
          <w:bCs/>
          <w:color w:val="007BB8"/>
          <w:sz w:val="28"/>
          <w:szCs w:val="28"/>
        </w:rPr>
        <w:t>:</w:t>
      </w:r>
    </w:p>
    <w:p w14:paraId="4C1E5FF3" w14:textId="18143A9E" w:rsidR="00D37335" w:rsidRDefault="00D37335" w:rsidP="00BB0E96">
      <w:r>
        <w:t>Annette M. O’Connor</w:t>
      </w:r>
      <w:r w:rsidR="00AB558E">
        <w:t xml:space="preserve"> c</w:t>
      </w:r>
      <w:r>
        <w:t>onceived the idea</w:t>
      </w:r>
      <w:r w:rsidR="00AB558E">
        <w:t>,</w:t>
      </w:r>
      <w:r>
        <w:t xml:space="preserve"> developed the protocol</w:t>
      </w:r>
      <w:r w:rsidR="00AB558E">
        <w:t xml:space="preserve">, and is the </w:t>
      </w:r>
      <w:r w:rsidR="00AB558E" w:rsidRPr="00AB558E">
        <w:t>guarantor of the review</w:t>
      </w:r>
      <w:r w:rsidR="00AB558E">
        <w:t>.</w:t>
      </w:r>
    </w:p>
    <w:p w14:paraId="2F10B603" w14:textId="520E79D1" w:rsidR="00D37335" w:rsidRDefault="00D37335" w:rsidP="00BB0E96">
      <w:r>
        <w:t>Sarah Totton</w:t>
      </w:r>
      <w:r w:rsidR="00AB558E">
        <w:t xml:space="preserve"> helped draft </w:t>
      </w:r>
      <w:r w:rsidR="004B0670">
        <w:t xml:space="preserve">and revise </w:t>
      </w:r>
      <w:r w:rsidR="00AB558E">
        <w:t>the protocol and p</w:t>
      </w:r>
      <w:r>
        <w:t>rovided critique and refinement of the protocol.</w:t>
      </w:r>
    </w:p>
    <w:p w14:paraId="3BE99E0A" w14:textId="77777777" w:rsidR="00232360" w:rsidRDefault="00232360" w:rsidP="00BB0E96"/>
    <w:p w14:paraId="765C399A" w14:textId="7B8D918F" w:rsidR="00232360" w:rsidRPr="00063C82" w:rsidRDefault="00232360" w:rsidP="00BB0E96">
      <w:pPr>
        <w:rPr>
          <w:b/>
          <w:bCs/>
          <w:color w:val="007BB8"/>
          <w:sz w:val="28"/>
          <w:szCs w:val="28"/>
        </w:rPr>
      </w:pPr>
      <w:r w:rsidRPr="00063C82">
        <w:rPr>
          <w:b/>
          <w:bCs/>
          <w:color w:val="007BB8"/>
          <w:sz w:val="28"/>
          <w:szCs w:val="28"/>
        </w:rPr>
        <w:t>Amendments:</w:t>
      </w:r>
    </w:p>
    <w:p w14:paraId="486A157F" w14:textId="39B558D6" w:rsidR="00232360" w:rsidRDefault="00232360" w:rsidP="00BB0E96">
      <w:r>
        <w:t>None to report.</w:t>
      </w:r>
    </w:p>
    <w:p w14:paraId="2C245976" w14:textId="77777777" w:rsidR="00640403" w:rsidRDefault="00640403" w:rsidP="00BB0E96"/>
    <w:p w14:paraId="4896156A" w14:textId="6468DDA9" w:rsidR="005B100C" w:rsidRPr="00063C82" w:rsidRDefault="00640403" w:rsidP="00640403">
      <w:pPr>
        <w:rPr>
          <w:b/>
          <w:bCs/>
          <w:color w:val="007BB8"/>
          <w:sz w:val="28"/>
          <w:szCs w:val="28"/>
        </w:rPr>
      </w:pPr>
      <w:r w:rsidRPr="00063C82">
        <w:rPr>
          <w:b/>
          <w:bCs/>
          <w:color w:val="007BB8"/>
          <w:sz w:val="28"/>
          <w:szCs w:val="28"/>
        </w:rPr>
        <w:t>Support: Source, sponsor, and role of funder:</w:t>
      </w:r>
    </w:p>
    <w:p w14:paraId="4812229B" w14:textId="79EE71D4" w:rsidR="00640403" w:rsidRDefault="009F6CE1" w:rsidP="009F6CE1">
      <w:r>
        <w:t xml:space="preserve">This review will be funded in part by </w:t>
      </w:r>
      <w:r w:rsidR="00A84DB3">
        <w:t xml:space="preserve">a </w:t>
      </w:r>
      <w:r w:rsidR="004B0670">
        <w:t>gi</w:t>
      </w:r>
      <w:r w:rsidR="00A84DB3">
        <w:t xml:space="preserve">ft from </w:t>
      </w:r>
      <w:r>
        <w:t xml:space="preserve">the </w:t>
      </w:r>
      <w:r w:rsidRPr="009F6CE1">
        <w:t>U.S. Poultry &amp; Egg Association</w:t>
      </w:r>
      <w:r>
        <w:t xml:space="preserve">, which gave feedback to the </w:t>
      </w:r>
      <w:r w:rsidR="00A84DB3">
        <w:t>review team</w:t>
      </w:r>
      <w:r>
        <w:t xml:space="preserve"> during the development of the protocol. The </w:t>
      </w:r>
      <w:r w:rsidR="00A84DB3" w:rsidRPr="009F6CE1">
        <w:t>U.S. Poultry &amp; Egg Association</w:t>
      </w:r>
      <w:r w:rsidR="00A84DB3">
        <w:t xml:space="preserve"> </w:t>
      </w:r>
      <w:r>
        <w:t>will not influence the design or conduct of the review</w:t>
      </w:r>
      <w:r w:rsidR="003E6265">
        <w:t xml:space="preserve"> apart from</w:t>
      </w:r>
      <w:r w:rsidR="003E6265" w:rsidRPr="003E6265">
        <w:t xml:space="preserve"> </w:t>
      </w:r>
      <w:r w:rsidR="003E6265">
        <w:t>helping determine cross-tabulation categories for the Evidence Gap Map</w:t>
      </w:r>
      <w:r>
        <w:t>.</w:t>
      </w:r>
    </w:p>
    <w:p w14:paraId="0EB56F6D" w14:textId="77777777" w:rsidR="00B64D65" w:rsidRDefault="00B64D65" w:rsidP="009F6CE1"/>
    <w:p w14:paraId="141F992A" w14:textId="4981D0F6" w:rsidR="00B64D65" w:rsidRPr="00063C82" w:rsidRDefault="00B64D65" w:rsidP="009F6CE1">
      <w:pPr>
        <w:rPr>
          <w:b/>
          <w:bCs/>
          <w:color w:val="007BB8"/>
          <w:sz w:val="28"/>
          <w:szCs w:val="28"/>
        </w:rPr>
      </w:pPr>
      <w:r w:rsidRPr="00063C82">
        <w:rPr>
          <w:b/>
          <w:bCs/>
          <w:color w:val="007BB8"/>
          <w:sz w:val="28"/>
          <w:szCs w:val="28"/>
        </w:rPr>
        <w:t>Conduct and reporting guidelines:</w:t>
      </w:r>
    </w:p>
    <w:p w14:paraId="576C60DE" w14:textId="7659DEE7" w:rsidR="002116C1" w:rsidRDefault="00B64D65" w:rsidP="009F6CE1">
      <w:pPr>
        <w:sectPr w:rsidR="002116C1" w:rsidSect="005C6788">
          <w:pgSz w:w="12240" w:h="15840"/>
          <w:pgMar w:top="1440" w:right="1440" w:bottom="1440" w:left="1440" w:header="720" w:footer="720" w:gutter="0"/>
          <w:lnNumType w:countBy="1" w:restart="continuous"/>
          <w:cols w:space="720"/>
          <w:docGrid w:linePitch="360"/>
        </w:sectPr>
      </w:pPr>
      <w:r>
        <w:t xml:space="preserve">We used </w:t>
      </w:r>
      <w:r w:rsidRPr="00B64D65">
        <w:t>PRISMA-P</w:t>
      </w:r>
      <w:r>
        <w:t xml:space="preserve"> </w:t>
      </w:r>
      <w:r w:rsidR="00AA1F3D">
        <w:t>(</w:t>
      </w:r>
      <w:r w:rsidR="00AA1F3D" w:rsidRPr="00AA1F3D">
        <w:t>Preferred Reporting Items for Systematic review and Meta-Analysis Protocols)</w:t>
      </w:r>
      <w:r w:rsidR="00AA1F3D">
        <w:t xml:space="preserve"> (Shamseer et al., 2015) </w:t>
      </w:r>
      <w:r w:rsidRPr="00B64D65">
        <w:t xml:space="preserve">and PRISMA-ScR </w:t>
      </w:r>
      <w:r w:rsidR="00AA1F3D">
        <w:t>(</w:t>
      </w:r>
      <w:r w:rsidR="00AA1F3D" w:rsidRPr="00AA1F3D">
        <w:t>Preferred Reporting Items for Systematic reviews and Meta-Analyses extension for Scoping Reviews</w:t>
      </w:r>
      <w:r w:rsidR="00AA1F3D">
        <w:t>) (</w:t>
      </w:r>
      <w:bookmarkStart w:id="1" w:name="_Hlk175735333"/>
      <w:r w:rsidR="00AA1F3D">
        <w:t xml:space="preserve">Tricco et al., 2018) </w:t>
      </w:r>
      <w:bookmarkEnd w:id="1"/>
      <w:r>
        <w:t>when drafting</w:t>
      </w:r>
      <w:r w:rsidRPr="00B64D65">
        <w:t xml:space="preserve"> this protocol.</w:t>
      </w:r>
    </w:p>
    <w:p w14:paraId="6176BEF0" w14:textId="3FDBFE1B" w:rsidR="007C4456" w:rsidRDefault="002A03A5" w:rsidP="007C4456">
      <w:pPr>
        <w:pStyle w:val="Heading1"/>
      </w:pPr>
      <w:r>
        <w:lastRenderedPageBreak/>
        <w:t xml:space="preserve">1. </w:t>
      </w:r>
      <w:r w:rsidR="007C4456">
        <w:t>Introduction</w:t>
      </w:r>
    </w:p>
    <w:p w14:paraId="6901BB08" w14:textId="77777777" w:rsidR="00233AA6" w:rsidRDefault="00233AA6" w:rsidP="002A03A5">
      <w:pPr>
        <w:pStyle w:val="Heading2"/>
      </w:pPr>
    </w:p>
    <w:p w14:paraId="063BB314" w14:textId="125BDB88" w:rsidR="002A03A5" w:rsidRDefault="002A03A5" w:rsidP="002A03A5">
      <w:pPr>
        <w:pStyle w:val="Heading2"/>
      </w:pPr>
      <w:r>
        <w:t>1.1. Rationale</w:t>
      </w:r>
    </w:p>
    <w:p w14:paraId="07DC86B6" w14:textId="4B91D0CB" w:rsidR="00CF0FE9" w:rsidRDefault="004338F5" w:rsidP="002A03A5">
      <w:r>
        <w:rPr>
          <w:i/>
          <w:iCs/>
        </w:rPr>
        <w:tab/>
      </w:r>
      <w:r w:rsidR="00F521CA" w:rsidRPr="00F521CA">
        <w:rPr>
          <w:i/>
          <w:iCs/>
        </w:rPr>
        <w:t>Salmonella enterica</w:t>
      </w:r>
      <w:r w:rsidR="00F521CA" w:rsidRPr="00F521CA">
        <w:t xml:space="preserve"> is responsible for the highest burden of </w:t>
      </w:r>
      <w:r w:rsidR="00477D83">
        <w:t xml:space="preserve">foodborne </w:t>
      </w:r>
      <w:r w:rsidR="00F521CA" w:rsidRPr="00F521CA">
        <w:t xml:space="preserve">disease </w:t>
      </w:r>
      <w:r>
        <w:t xml:space="preserve">globally </w:t>
      </w:r>
      <w:r w:rsidR="00F521CA" w:rsidRPr="00F521CA">
        <w:t>(Kirk et al., 2015).</w:t>
      </w:r>
      <w:r w:rsidR="00CD1F69">
        <w:t xml:space="preserve"> In the </w:t>
      </w:r>
      <w:r w:rsidR="00CD1F69" w:rsidRPr="00662E28">
        <w:t>United States, nearly one quarter (23</w:t>
      </w:r>
      <w:r w:rsidR="00612708">
        <w:t>.2</w:t>
      </w:r>
      <w:r w:rsidR="00CD1F69" w:rsidRPr="00662E28">
        <w:t xml:space="preserve">%) of all foodborne </w:t>
      </w:r>
      <w:r w:rsidR="00CD1F69" w:rsidRPr="00662E28">
        <w:rPr>
          <w:i/>
          <w:iCs/>
        </w:rPr>
        <w:t>Salmonella</w:t>
      </w:r>
      <w:r w:rsidR="00CD1F69" w:rsidRPr="00662E28">
        <w:t xml:space="preserve"> infections are attributable to eating poultry products (chicken or turkey) </w:t>
      </w:r>
      <w:r w:rsidR="00662E28" w:rsidRPr="00662E28">
        <w:t xml:space="preserve">(Interagency Food Safety Analytics Collaboration, 2021). </w:t>
      </w:r>
      <w:r w:rsidR="00116EB9" w:rsidRPr="00116EB9">
        <w:t>Further</w:t>
      </w:r>
      <w:r w:rsidR="00116EB9">
        <w:t>,</w:t>
      </w:r>
      <w:r w:rsidR="00116EB9" w:rsidRPr="00116EB9">
        <w:t xml:space="preserve"> recent outbreaks of </w:t>
      </w:r>
      <w:r w:rsidR="00116EB9" w:rsidRPr="00116EB9">
        <w:rPr>
          <w:i/>
          <w:iCs/>
        </w:rPr>
        <w:t>Salmonella</w:t>
      </w:r>
      <w:r w:rsidR="00116EB9" w:rsidRPr="00116EB9">
        <w:t xml:space="preserve"> in Not Ready to Eat (NRTE) poultry products have prompted increased interest in mitigation strategies for </w:t>
      </w:r>
      <w:r w:rsidR="00116EB9" w:rsidRPr="00116EB9">
        <w:rPr>
          <w:i/>
          <w:iCs/>
        </w:rPr>
        <w:t xml:space="preserve">Salmonella </w:t>
      </w:r>
      <w:r w:rsidR="00116EB9" w:rsidRPr="00116EB9">
        <w:t xml:space="preserve">in raw poultry </w:t>
      </w:r>
      <w:r w:rsidR="00116EB9">
        <w:t xml:space="preserve">(Ford et al., 2023). </w:t>
      </w:r>
      <w:r w:rsidR="002A345F">
        <w:t xml:space="preserve">Adequate prevention of infection involves all components of the farm-to-fork continuum, including processing (WHO, 2018). </w:t>
      </w:r>
    </w:p>
    <w:p w14:paraId="54E4F8AD" w14:textId="00AEB369" w:rsidR="004338F5" w:rsidRPr="00414C94" w:rsidRDefault="00FB2940" w:rsidP="002A03A5">
      <w:r w:rsidRPr="00414C94">
        <w:tab/>
      </w:r>
      <w:r w:rsidR="00414C94" w:rsidRPr="00414C94">
        <w:t xml:space="preserve">Information is needed on which types of processing </w:t>
      </w:r>
      <w:r w:rsidR="004338F5" w:rsidRPr="00414C94">
        <w:t xml:space="preserve">interventions for reducing </w:t>
      </w:r>
      <w:r w:rsidR="004338F5" w:rsidRPr="00414C94">
        <w:rPr>
          <w:i/>
          <w:iCs/>
        </w:rPr>
        <w:t>Salmonella</w:t>
      </w:r>
      <w:r w:rsidR="004338F5" w:rsidRPr="00414C94">
        <w:t xml:space="preserve"> contamination of raw poultry products</w:t>
      </w:r>
      <w:r w:rsidRPr="00414C94">
        <w:t xml:space="preserve"> have been studied</w:t>
      </w:r>
      <w:r w:rsidR="00414C94" w:rsidRPr="00414C94">
        <w:t xml:space="preserve">, </w:t>
      </w:r>
      <w:r w:rsidRPr="00414C94">
        <w:t>how often these have been tested</w:t>
      </w:r>
      <w:r w:rsidR="00414C94" w:rsidRPr="00414C94">
        <w:t>, and</w:t>
      </w:r>
      <w:r w:rsidR="00A26117" w:rsidRPr="00414C94">
        <w:t xml:space="preserve"> gaps in the </w:t>
      </w:r>
      <w:r w:rsidRPr="00414C94">
        <w:t xml:space="preserve">research </w:t>
      </w:r>
      <w:r w:rsidR="00A26117" w:rsidRPr="00414C94">
        <w:t>literature on this topic</w:t>
      </w:r>
      <w:r w:rsidRPr="00414C94">
        <w:t>.</w:t>
      </w:r>
      <w:r w:rsidR="00414C94" w:rsidRPr="00414C94">
        <w:t xml:space="preserve"> </w:t>
      </w:r>
      <w:r w:rsidR="00A26117" w:rsidRPr="00414C94">
        <w:t>Scoping reviews are an evidence synthesis tool that can provide this information (Munn et al., 2018).</w:t>
      </w:r>
    </w:p>
    <w:p w14:paraId="3342ACF4" w14:textId="0CB22B7D" w:rsidR="00073A1E" w:rsidRPr="008D340B" w:rsidRDefault="00414C94" w:rsidP="002A03A5">
      <w:pPr>
        <w:rPr>
          <w:color w:val="ED0000"/>
        </w:rPr>
      </w:pPr>
      <w:r w:rsidRPr="0080646C">
        <w:rPr>
          <w:color w:val="000000" w:themeColor="text1"/>
        </w:rPr>
        <w:tab/>
        <w:t xml:space="preserve">A recent </w:t>
      </w:r>
      <w:r w:rsidR="00A13305" w:rsidRPr="0080646C">
        <w:rPr>
          <w:color w:val="000000" w:themeColor="text1"/>
        </w:rPr>
        <w:t xml:space="preserve">(1 August 2024) </w:t>
      </w:r>
      <w:r w:rsidRPr="0080646C">
        <w:rPr>
          <w:color w:val="000000" w:themeColor="text1"/>
        </w:rPr>
        <w:t xml:space="preserve">search of </w:t>
      </w:r>
      <w:r w:rsidR="00A13305" w:rsidRPr="0080646C">
        <w:rPr>
          <w:color w:val="000000" w:themeColor="text1"/>
        </w:rPr>
        <w:t>PubMed revealed a systematic review of ultrasound processing interventions on poultry meat</w:t>
      </w:r>
      <w:r w:rsidR="002A71CB" w:rsidRPr="0080646C">
        <w:rPr>
          <w:color w:val="000000" w:themeColor="text1"/>
        </w:rPr>
        <w:t xml:space="preserve"> (Al-Hilphy et al., 2020)</w:t>
      </w:r>
      <w:r w:rsidR="0080646C" w:rsidRPr="0080646C">
        <w:rPr>
          <w:color w:val="000000" w:themeColor="text1"/>
        </w:rPr>
        <w:t xml:space="preserve"> and</w:t>
      </w:r>
      <w:r w:rsidR="002A71CB" w:rsidRPr="0080646C">
        <w:rPr>
          <w:color w:val="000000" w:themeColor="text1"/>
        </w:rPr>
        <w:t xml:space="preserve"> a 2012 systematic review of chilling interventions for broiler chickens (Bucher et al., 2012)</w:t>
      </w:r>
      <w:r w:rsidR="0080646C" w:rsidRPr="0080646C">
        <w:rPr>
          <w:color w:val="000000" w:themeColor="text1"/>
        </w:rPr>
        <w:t xml:space="preserve">. </w:t>
      </w:r>
      <w:r w:rsidR="008D340B">
        <w:rPr>
          <w:color w:val="000000" w:themeColor="text1"/>
        </w:rPr>
        <w:t xml:space="preserve">More recently, </w:t>
      </w:r>
      <w:bookmarkStart w:id="2" w:name="_Hlk177387628"/>
      <w:r w:rsidR="008D340B">
        <w:rPr>
          <w:color w:val="000000" w:themeColor="text1"/>
        </w:rPr>
        <w:t xml:space="preserve">Leone and others (2024) </w:t>
      </w:r>
      <w:bookmarkEnd w:id="2"/>
      <w:r w:rsidR="008D340B">
        <w:rPr>
          <w:color w:val="000000" w:themeColor="text1"/>
        </w:rPr>
        <w:t xml:space="preserve">conducted a systematic review of chilling and post-chilling interventions against </w:t>
      </w:r>
      <w:r w:rsidR="008D340B" w:rsidRPr="008D340B">
        <w:rPr>
          <w:i/>
          <w:iCs/>
          <w:color w:val="000000" w:themeColor="text1"/>
        </w:rPr>
        <w:t xml:space="preserve">Salmonella </w:t>
      </w:r>
      <w:r w:rsidR="008D340B">
        <w:rPr>
          <w:color w:val="000000" w:themeColor="text1"/>
        </w:rPr>
        <w:t xml:space="preserve">in poultry during processing. </w:t>
      </w:r>
      <w:r w:rsidR="00EF208B">
        <w:rPr>
          <w:color w:val="000000" w:themeColor="text1"/>
        </w:rPr>
        <w:t>W</w:t>
      </w:r>
      <w:r w:rsidR="0080646C" w:rsidRPr="00EB0BE2">
        <w:rPr>
          <w:color w:val="000000" w:themeColor="text1"/>
        </w:rPr>
        <w:t>e were unable to find a recent systematic or scoping review of processing interventions</w:t>
      </w:r>
      <w:r w:rsidR="00233AA6" w:rsidRPr="00EB0BE2">
        <w:rPr>
          <w:color w:val="000000" w:themeColor="text1"/>
        </w:rPr>
        <w:t xml:space="preserve"> </w:t>
      </w:r>
      <w:r w:rsidR="00FE4E6E" w:rsidRPr="00EB0BE2">
        <w:rPr>
          <w:color w:val="000000" w:themeColor="text1"/>
        </w:rPr>
        <w:t xml:space="preserve">for </w:t>
      </w:r>
      <w:r w:rsidR="00FE4E6E" w:rsidRPr="00EB0BE2">
        <w:rPr>
          <w:i/>
          <w:iCs/>
          <w:color w:val="000000" w:themeColor="text1"/>
        </w:rPr>
        <w:t>Salmonella</w:t>
      </w:r>
      <w:r w:rsidR="00FE4E6E" w:rsidRPr="00EB0BE2">
        <w:rPr>
          <w:color w:val="000000" w:themeColor="text1"/>
        </w:rPr>
        <w:t xml:space="preserve"> in raw poultry products</w:t>
      </w:r>
      <w:r w:rsidR="00FE4E6E">
        <w:rPr>
          <w:color w:val="000000" w:themeColor="text1"/>
        </w:rPr>
        <w:t xml:space="preserve"> </w:t>
      </w:r>
      <w:r w:rsidR="002B38A3">
        <w:rPr>
          <w:color w:val="000000" w:themeColor="text1"/>
        </w:rPr>
        <w:t xml:space="preserve">apart from </w:t>
      </w:r>
      <w:r w:rsidR="00786CE7">
        <w:rPr>
          <w:color w:val="000000" w:themeColor="text1"/>
        </w:rPr>
        <w:t>post-</w:t>
      </w:r>
      <w:r w:rsidR="00EF208B">
        <w:rPr>
          <w:color w:val="000000" w:themeColor="text1"/>
        </w:rPr>
        <w:t xml:space="preserve">chilling and </w:t>
      </w:r>
      <w:r w:rsidR="00786CE7">
        <w:rPr>
          <w:color w:val="000000" w:themeColor="text1"/>
        </w:rPr>
        <w:t>c</w:t>
      </w:r>
      <w:r w:rsidR="00EF208B">
        <w:rPr>
          <w:color w:val="000000" w:themeColor="text1"/>
        </w:rPr>
        <w:t xml:space="preserve">hilling </w:t>
      </w:r>
      <w:r w:rsidR="002B38A3">
        <w:rPr>
          <w:color w:val="000000" w:themeColor="text1"/>
        </w:rPr>
        <w:t>interventions</w:t>
      </w:r>
      <w:r w:rsidR="00FE4E6E">
        <w:rPr>
          <w:color w:val="000000" w:themeColor="text1"/>
        </w:rPr>
        <w:t>.</w:t>
      </w:r>
      <w:r w:rsidR="00786CE7">
        <w:rPr>
          <w:color w:val="000000" w:themeColor="text1"/>
        </w:rPr>
        <w:t xml:space="preserve"> </w:t>
      </w:r>
    </w:p>
    <w:p w14:paraId="424A6195" w14:textId="77777777" w:rsidR="00073A1E" w:rsidRPr="00CF0FE9" w:rsidRDefault="00073A1E" w:rsidP="002A03A5">
      <w:pPr>
        <w:rPr>
          <w:color w:val="FF0000"/>
        </w:rPr>
      </w:pPr>
    </w:p>
    <w:p w14:paraId="41961998" w14:textId="32B8F764" w:rsidR="009F6CE1" w:rsidRDefault="00CB69D8" w:rsidP="00CB69D8">
      <w:pPr>
        <w:pStyle w:val="Heading2"/>
      </w:pPr>
      <w:r>
        <w:t>1.2. Objectives</w:t>
      </w:r>
    </w:p>
    <w:p w14:paraId="07340182" w14:textId="2A3B0CFD" w:rsidR="00CB69D8" w:rsidRPr="00233AA6" w:rsidRDefault="00414C94" w:rsidP="00CB69D8">
      <w:pPr>
        <w:rPr>
          <w:color w:val="000000" w:themeColor="text1"/>
        </w:rPr>
      </w:pPr>
      <w:r w:rsidRPr="00233AA6">
        <w:rPr>
          <w:color w:val="000000" w:themeColor="text1"/>
        </w:rPr>
        <w:tab/>
        <w:t>Our objectiv</w:t>
      </w:r>
      <w:r w:rsidR="00233AA6">
        <w:rPr>
          <w:color w:val="000000" w:themeColor="text1"/>
        </w:rPr>
        <w:t>e</w:t>
      </w:r>
      <w:r w:rsidRPr="00233AA6">
        <w:rPr>
          <w:color w:val="000000" w:themeColor="text1"/>
        </w:rPr>
        <w:t xml:space="preserve"> is to conduct a scoping review of </w:t>
      </w:r>
      <w:r w:rsidR="00233AA6" w:rsidRPr="00233AA6">
        <w:rPr>
          <w:color w:val="000000" w:themeColor="text1"/>
        </w:rPr>
        <w:t>mitigation strategies</w:t>
      </w:r>
      <w:r w:rsidR="00233AA6" w:rsidRPr="00233AA6">
        <w:t xml:space="preserve"> </w:t>
      </w:r>
      <w:r w:rsidR="00233AA6" w:rsidRPr="00233AA6">
        <w:rPr>
          <w:color w:val="000000" w:themeColor="text1"/>
        </w:rPr>
        <w:t xml:space="preserve">to reduce or eliminate </w:t>
      </w:r>
      <w:r w:rsidR="00233AA6" w:rsidRPr="00233AA6">
        <w:rPr>
          <w:i/>
          <w:iCs/>
          <w:color w:val="000000" w:themeColor="text1"/>
        </w:rPr>
        <w:t>Salmonella</w:t>
      </w:r>
      <w:r w:rsidR="00233AA6" w:rsidRPr="00233AA6">
        <w:rPr>
          <w:color w:val="000000" w:themeColor="text1"/>
        </w:rPr>
        <w:t xml:space="preserve"> contamination</w:t>
      </w:r>
      <w:r w:rsidRPr="00233AA6">
        <w:rPr>
          <w:color w:val="000000" w:themeColor="text1"/>
        </w:rPr>
        <w:t xml:space="preserve"> during processing</w:t>
      </w:r>
      <w:r w:rsidR="00D50EE2">
        <w:rPr>
          <w:color w:val="000000" w:themeColor="text1"/>
        </w:rPr>
        <w:t xml:space="preserve"> </w:t>
      </w:r>
      <w:r w:rsidR="00233AA6">
        <w:rPr>
          <w:color w:val="000000" w:themeColor="text1"/>
        </w:rPr>
        <w:t>of</w:t>
      </w:r>
      <w:r w:rsidRPr="00233AA6">
        <w:rPr>
          <w:color w:val="000000" w:themeColor="text1"/>
        </w:rPr>
        <w:t xml:space="preserve"> raw poultry products.</w:t>
      </w:r>
    </w:p>
    <w:p w14:paraId="7C00E6C3" w14:textId="77777777" w:rsidR="0023759F" w:rsidRPr="00233AA6" w:rsidRDefault="0023759F" w:rsidP="00CB69D8">
      <w:pPr>
        <w:rPr>
          <w:color w:val="000000" w:themeColor="text1"/>
        </w:rPr>
      </w:pPr>
    </w:p>
    <w:p w14:paraId="618EF9BA" w14:textId="650E5791" w:rsidR="0023759F" w:rsidRDefault="0023759F" w:rsidP="0023759F">
      <w:pPr>
        <w:pStyle w:val="Heading1"/>
      </w:pPr>
      <w:r>
        <w:t>2. Methods</w:t>
      </w:r>
    </w:p>
    <w:p w14:paraId="56F8AB95" w14:textId="77777777" w:rsidR="00C31BA7" w:rsidRPr="00C31BA7" w:rsidRDefault="00C31BA7" w:rsidP="00C31BA7"/>
    <w:p w14:paraId="486EEACD" w14:textId="286AAAFF" w:rsidR="0023759F" w:rsidRDefault="0023759F" w:rsidP="0023759F">
      <w:pPr>
        <w:pStyle w:val="Heading2"/>
      </w:pPr>
      <w:r>
        <w:t>2.1. Eligibility criteria</w:t>
      </w:r>
    </w:p>
    <w:p w14:paraId="70F8D880" w14:textId="4D45C439" w:rsidR="007C51EB" w:rsidRPr="007C51EB" w:rsidRDefault="007C51EB" w:rsidP="0023759F">
      <w:r w:rsidRPr="007C51EB">
        <w:tab/>
        <w:t xml:space="preserve">We used the PCC framework (population, concept, context) (Tricco et al., 2018) for defining </w:t>
      </w:r>
      <w:r w:rsidR="00D57B82">
        <w:t>our eligibility criteria</w:t>
      </w:r>
      <w:r w:rsidRPr="007C51EB">
        <w:t>.</w:t>
      </w:r>
    </w:p>
    <w:p w14:paraId="372B687F" w14:textId="404B746A" w:rsidR="00A22C4D" w:rsidRDefault="00415220" w:rsidP="0023759F">
      <w:r w:rsidRPr="00A22C4D">
        <w:tab/>
      </w:r>
      <w:r w:rsidR="00A22C4D" w:rsidRPr="00A22C4D">
        <w:rPr>
          <w:u w:val="single"/>
        </w:rPr>
        <w:t>Eligible population</w:t>
      </w:r>
      <w:r w:rsidR="00A22C4D" w:rsidRPr="00A22C4D">
        <w:t>: Raw poultry products (chicken</w:t>
      </w:r>
      <w:r w:rsidR="008A3FC7">
        <w:t xml:space="preserve"> or</w:t>
      </w:r>
      <w:r w:rsidR="00A22C4D" w:rsidRPr="00A22C4D">
        <w:t xml:space="preserve"> turkey) intended for human consumption</w:t>
      </w:r>
      <w:r w:rsidR="00B9418E">
        <w:t xml:space="preserve"> are eligible.</w:t>
      </w:r>
    </w:p>
    <w:p w14:paraId="4B78A870" w14:textId="7D76599D" w:rsidR="007C51EB" w:rsidRDefault="007C51EB" w:rsidP="00B9418E">
      <w:r>
        <w:tab/>
      </w:r>
      <w:r w:rsidRPr="007C51EB">
        <w:rPr>
          <w:u w:val="single"/>
        </w:rPr>
        <w:t>Eligible concept</w:t>
      </w:r>
      <w:r>
        <w:t xml:space="preserve">: </w:t>
      </w:r>
      <w:r w:rsidR="002B38A3">
        <w:t>Eligible i</w:t>
      </w:r>
      <w:r>
        <w:t xml:space="preserve">nterventions </w:t>
      </w:r>
      <w:r w:rsidR="002B38A3">
        <w:t xml:space="preserve">are those that are </w:t>
      </w:r>
      <w:r w:rsidRPr="007C51EB">
        <w:t>applied during processing</w:t>
      </w:r>
      <w:r w:rsidR="00E41427">
        <w:t xml:space="preserve"> </w:t>
      </w:r>
      <w:r w:rsidR="00A84DB3">
        <w:t>from slaughter</w:t>
      </w:r>
      <w:r w:rsidR="002B38A3">
        <w:t>, scalding/defeathering, rehang, evisceration, carcass washing, pre-chill, chill, post-chill, cutting into parts and comminution (mincing)</w:t>
      </w:r>
      <w:r w:rsidR="00EB0BE2">
        <w:t xml:space="preserve"> </w:t>
      </w:r>
      <w:r w:rsidR="00E41427">
        <w:t>that</w:t>
      </w:r>
      <w:r>
        <w:t xml:space="preserve"> are intended to </w:t>
      </w:r>
      <w:r w:rsidR="00EB0BE2">
        <w:t>reduce</w:t>
      </w:r>
      <w:r>
        <w:t xml:space="preserve"> </w:t>
      </w:r>
      <w:r w:rsidRPr="007C51EB">
        <w:rPr>
          <w:i/>
          <w:iCs/>
        </w:rPr>
        <w:t>Salmonella</w:t>
      </w:r>
      <w:r>
        <w:t xml:space="preserve"> </w:t>
      </w:r>
      <w:r w:rsidR="00EB0BE2">
        <w:t>log CFU concentration</w:t>
      </w:r>
      <w:r w:rsidR="00B9418E">
        <w:t>.</w:t>
      </w:r>
      <w:r w:rsidR="00B9418E" w:rsidRPr="00B9418E">
        <w:t xml:space="preserve"> </w:t>
      </w:r>
      <w:r w:rsidR="00B9418E">
        <w:t xml:space="preserve">Eligible interventions </w:t>
      </w:r>
      <w:r w:rsidR="00EB0BE2">
        <w:t>should likely be</w:t>
      </w:r>
      <w:r w:rsidR="00B9418E">
        <w:t xml:space="preserve"> relatively rapid (</w:t>
      </w:r>
      <w:r w:rsidR="002F5DCE">
        <w:t xml:space="preserve">take </w:t>
      </w:r>
      <w:r w:rsidR="00B9418E">
        <w:t>&lt; 30 minutes)</w:t>
      </w:r>
      <w:r w:rsidR="003478DC">
        <w:t>.</w:t>
      </w:r>
      <w:r w:rsidR="00B9418E">
        <w:t xml:space="preserve"> </w:t>
      </w:r>
      <w:r w:rsidR="0044672B">
        <w:t xml:space="preserve">Only those interventions that are </w:t>
      </w:r>
      <w:bookmarkStart w:id="3" w:name="_Hlk177389270"/>
      <w:r w:rsidR="0044672B">
        <w:t xml:space="preserve">permitted by the USDA’s Food Safety and Inspection Service </w:t>
      </w:r>
      <w:bookmarkEnd w:id="3"/>
      <w:r w:rsidR="0044672B">
        <w:t xml:space="preserve">are eligible. </w:t>
      </w:r>
      <w:r w:rsidR="00B9418E">
        <w:t>U</w:t>
      </w:r>
      <w:r w:rsidR="002F5DCE">
        <w:t>ltraviolet</w:t>
      </w:r>
      <w:r w:rsidR="00EB0BE2">
        <w:t>, irradiation</w:t>
      </w:r>
      <w:r w:rsidR="002B38A3">
        <w:t>,</w:t>
      </w:r>
      <w:r w:rsidR="002F5DCE">
        <w:t xml:space="preserve"> </w:t>
      </w:r>
      <w:r w:rsidR="00B9418E">
        <w:t xml:space="preserve">and </w:t>
      </w:r>
      <w:r w:rsidR="00EB0BE2">
        <w:t xml:space="preserve">high-pressure processing pasteurization </w:t>
      </w:r>
      <w:r w:rsidR="00B9418E">
        <w:t xml:space="preserve">are eligible. Cloacal wash interventions </w:t>
      </w:r>
      <w:r w:rsidR="0044672B">
        <w:t>are</w:t>
      </w:r>
      <w:r w:rsidR="00B9418E">
        <w:t xml:space="preserve"> not eligible.</w:t>
      </w:r>
      <w:r w:rsidR="00545C5E">
        <w:t xml:space="preserve"> Interventions applied during </w:t>
      </w:r>
      <w:r w:rsidR="009B1EFF">
        <w:t xml:space="preserve">and after </w:t>
      </w:r>
      <w:r w:rsidR="00545C5E">
        <w:t xml:space="preserve">packaging are </w:t>
      </w:r>
      <w:r w:rsidR="0044672B">
        <w:t xml:space="preserve">also </w:t>
      </w:r>
      <w:r w:rsidR="00545C5E">
        <w:t>not eligible.</w:t>
      </w:r>
      <w:r w:rsidR="003478DC">
        <w:t xml:space="preserve"> </w:t>
      </w:r>
    </w:p>
    <w:p w14:paraId="1BCAD2D4" w14:textId="4851E329" w:rsidR="004F61CA" w:rsidRPr="00163005" w:rsidRDefault="004F61CA" w:rsidP="004F61CA">
      <w:r w:rsidRPr="000D3ED2">
        <w:lastRenderedPageBreak/>
        <w:tab/>
      </w:r>
      <w:r w:rsidRPr="000D3ED2">
        <w:rPr>
          <w:u w:val="single"/>
        </w:rPr>
        <w:t>Eligible context/settings</w:t>
      </w:r>
      <w:r w:rsidRPr="000D3ED2">
        <w:t xml:space="preserve">: </w:t>
      </w:r>
      <w:r w:rsidR="000D3ED2" w:rsidRPr="000D3ED2">
        <w:t>Eligible settings include</w:t>
      </w:r>
      <w:r w:rsidRPr="00163005">
        <w:t xml:space="preserve"> commercial poultry processing plants</w:t>
      </w:r>
      <w:r w:rsidR="00A56ED9">
        <w:t>, pilot plants,</w:t>
      </w:r>
      <w:r w:rsidR="000D3ED2" w:rsidRPr="000D3ED2">
        <w:t xml:space="preserve"> and</w:t>
      </w:r>
      <w:r w:rsidRPr="00163005">
        <w:t xml:space="preserve"> lab</w:t>
      </w:r>
      <w:r w:rsidR="000D3ED2" w:rsidRPr="000D3ED2">
        <w:t>oratory</w:t>
      </w:r>
      <w:r w:rsidRPr="00163005">
        <w:t>/experimental set</w:t>
      </w:r>
      <w:r w:rsidR="000D3ED2" w:rsidRPr="000D3ED2">
        <w:t>tings</w:t>
      </w:r>
      <w:r w:rsidR="006C73C3">
        <w:t xml:space="preserve"> that mimic a commercial processing plan</w:t>
      </w:r>
      <w:r w:rsidR="00A56ED9">
        <w:t>t</w:t>
      </w:r>
      <w:r w:rsidR="000D3ED2" w:rsidRPr="000D3ED2">
        <w:t xml:space="preserve">. Any studies conducted outside of these facilities (e.g., outside the processing plant after the product is </w:t>
      </w:r>
      <w:r w:rsidR="006C73C3">
        <w:t xml:space="preserve">comminuted, </w:t>
      </w:r>
      <w:r w:rsidR="000D3ED2" w:rsidRPr="000D3ED2">
        <w:t>packaged and shipped) will not be eligible.</w:t>
      </w:r>
    </w:p>
    <w:p w14:paraId="21EE16F5" w14:textId="5BD759F1" w:rsidR="004F61CA" w:rsidRPr="00C31BA7" w:rsidRDefault="00B55232" w:rsidP="00B9418E">
      <w:pPr>
        <w:rPr>
          <w:color w:val="ED0000"/>
        </w:rPr>
      </w:pPr>
      <w:r>
        <w:tab/>
      </w:r>
      <w:r w:rsidRPr="00B55232">
        <w:rPr>
          <w:u w:val="single"/>
        </w:rPr>
        <w:t>Eligible study designs</w:t>
      </w:r>
      <w:r>
        <w:t xml:space="preserve">: </w:t>
      </w:r>
      <w:r w:rsidR="00A84DB3">
        <w:t>Comparative c</w:t>
      </w:r>
      <w:r>
        <w:t>hallenge studies</w:t>
      </w:r>
      <w:r w:rsidR="00A84DB3">
        <w:t>, randomized controlled trials</w:t>
      </w:r>
      <w:r>
        <w:t xml:space="preserve"> as well as </w:t>
      </w:r>
      <w:r w:rsidR="00A84DB3">
        <w:t xml:space="preserve">comparative </w:t>
      </w:r>
      <w:r>
        <w:t xml:space="preserve">natural contamination studies will </w:t>
      </w:r>
      <w:r w:rsidR="00A84DB3">
        <w:t>be</w:t>
      </w:r>
      <w:r>
        <w:t xml:space="preserve"> eligible</w:t>
      </w:r>
      <w:r w:rsidR="006C73C3">
        <w:t xml:space="preserve"> (histor</w:t>
      </w:r>
      <w:r w:rsidR="003B6B1F">
        <w:t>ical</w:t>
      </w:r>
      <w:r w:rsidR="006C73C3">
        <w:t xml:space="preserve"> control OK)</w:t>
      </w:r>
      <w:r>
        <w:t xml:space="preserve">. </w:t>
      </w:r>
      <w:r w:rsidR="00D57B82">
        <w:t>Only p</w:t>
      </w:r>
      <w:r>
        <w:t xml:space="preserve">rimary research </w:t>
      </w:r>
      <w:r w:rsidR="00D57B82">
        <w:t>will be</w:t>
      </w:r>
      <w:r>
        <w:t xml:space="preserve"> eligible. Reviews</w:t>
      </w:r>
      <w:r w:rsidR="00A84DB3">
        <w:t xml:space="preserve">, </w:t>
      </w:r>
      <w:r>
        <w:t xml:space="preserve">guideline documents </w:t>
      </w:r>
      <w:r w:rsidR="00A84DB3">
        <w:t xml:space="preserve">and simulation models </w:t>
      </w:r>
      <w:r>
        <w:t>will not be eligible.</w:t>
      </w:r>
      <w:r w:rsidR="00C31BA7">
        <w:t xml:space="preserve"> </w:t>
      </w:r>
    </w:p>
    <w:p w14:paraId="5FBE7273" w14:textId="0013506B" w:rsidR="00D57B82" w:rsidRPr="000D3ED2" w:rsidRDefault="00D57B82" w:rsidP="00B9418E">
      <w:r>
        <w:tab/>
      </w:r>
      <w:r w:rsidRPr="00D57B82">
        <w:rPr>
          <w:u w:val="single"/>
        </w:rPr>
        <w:t>Eligible study characteristics</w:t>
      </w:r>
      <w:r>
        <w:t>: Studies conducted in any country</w:t>
      </w:r>
      <w:r w:rsidR="006037B9">
        <w:t xml:space="preserve"> (provided they meet the standards </w:t>
      </w:r>
      <w:r w:rsidR="00D70905">
        <w:t>of</w:t>
      </w:r>
      <w:r w:rsidR="006037B9">
        <w:t xml:space="preserve"> commercial processing)</w:t>
      </w:r>
      <w:r>
        <w:t xml:space="preserve"> and in any year are eligible. </w:t>
      </w:r>
      <w:r w:rsidRPr="00D57B82">
        <w:t>As we do not have a budget for translation, only studies for which the full text is</w:t>
      </w:r>
      <w:r>
        <w:t xml:space="preserve"> available</w:t>
      </w:r>
      <w:r w:rsidRPr="00D57B82">
        <w:t xml:space="preserve"> in English will be eligible.</w:t>
      </w:r>
      <w:r>
        <w:t xml:space="preserve"> Studies published in journals</w:t>
      </w:r>
      <w:r w:rsidR="00C05316">
        <w:t xml:space="preserve"> and </w:t>
      </w:r>
      <w:r>
        <w:t>conference proceedings</w:t>
      </w:r>
      <w:r w:rsidR="006C73C3">
        <w:t xml:space="preserve"> (provided they have &gt; 1000 words)</w:t>
      </w:r>
      <w:r w:rsidR="00C05316">
        <w:t xml:space="preserve"> </w:t>
      </w:r>
      <w:r>
        <w:t xml:space="preserve">will all be eligible. </w:t>
      </w:r>
    </w:p>
    <w:p w14:paraId="4212841D" w14:textId="77777777" w:rsidR="0023759F" w:rsidRDefault="0023759F" w:rsidP="0023759F">
      <w:pPr>
        <w:rPr>
          <w:color w:val="000000" w:themeColor="text1"/>
        </w:rPr>
      </w:pPr>
    </w:p>
    <w:p w14:paraId="043194A8" w14:textId="6590C93E" w:rsidR="0023759F" w:rsidRDefault="00A84836" w:rsidP="00A84836">
      <w:pPr>
        <w:pStyle w:val="Heading2"/>
      </w:pPr>
      <w:r>
        <w:t>2.2. Information sources</w:t>
      </w:r>
    </w:p>
    <w:p w14:paraId="3C7564AC" w14:textId="4058C71C" w:rsidR="00636CA3" w:rsidRDefault="00072235" w:rsidP="00072235">
      <w:pPr>
        <w:rPr>
          <w:color w:val="000000" w:themeColor="text1"/>
        </w:rPr>
      </w:pPr>
      <w:r>
        <w:rPr>
          <w:color w:val="ED0000"/>
        </w:rPr>
        <w:tab/>
      </w:r>
      <w:r w:rsidR="002B16B3" w:rsidRPr="00636CA3">
        <w:rPr>
          <w:color w:val="000000" w:themeColor="text1"/>
        </w:rPr>
        <w:t xml:space="preserve">The search will initially </w:t>
      </w:r>
      <w:r w:rsidR="00636CA3" w:rsidRPr="00636CA3">
        <w:rPr>
          <w:color w:val="000000" w:themeColor="text1"/>
        </w:rPr>
        <w:t xml:space="preserve">be </w:t>
      </w:r>
      <w:r w:rsidR="002B16B3" w:rsidRPr="00636CA3">
        <w:rPr>
          <w:color w:val="000000" w:themeColor="text1"/>
        </w:rPr>
        <w:t>conducted in PubMed and CABI</w:t>
      </w:r>
      <w:r w:rsidR="00636CA3" w:rsidRPr="00636CA3">
        <w:rPr>
          <w:color w:val="000000" w:themeColor="text1"/>
        </w:rPr>
        <w:t xml:space="preserve"> (in the Michigan State University Web of Science interface)</w:t>
      </w:r>
      <w:r w:rsidR="002B16B3" w:rsidRPr="00636CA3">
        <w:rPr>
          <w:color w:val="000000" w:themeColor="text1"/>
        </w:rPr>
        <w:t xml:space="preserve">. </w:t>
      </w:r>
      <w:r w:rsidR="00060974">
        <w:rPr>
          <w:color w:val="000000" w:themeColor="text1"/>
        </w:rPr>
        <w:t xml:space="preserve">Validation of the search will be performed by checking the reference list of the recent systematic review on chilling and post-chilling interventions by </w:t>
      </w:r>
      <w:r w:rsidR="00060974" w:rsidRPr="00060974">
        <w:rPr>
          <w:color w:val="000000" w:themeColor="text1"/>
        </w:rPr>
        <w:t xml:space="preserve">Leone and others (2024) </w:t>
      </w:r>
      <w:r w:rsidR="00060974">
        <w:rPr>
          <w:color w:val="000000" w:themeColor="text1"/>
        </w:rPr>
        <w:t>to ensure</w:t>
      </w:r>
      <w:r w:rsidR="00374566">
        <w:rPr>
          <w:color w:val="000000" w:themeColor="text1"/>
        </w:rPr>
        <w:t xml:space="preserve"> that</w:t>
      </w:r>
      <w:r w:rsidR="00060974">
        <w:rPr>
          <w:color w:val="000000" w:themeColor="text1"/>
        </w:rPr>
        <w:t xml:space="preserve"> </w:t>
      </w:r>
      <w:r w:rsidR="00374566">
        <w:rPr>
          <w:color w:val="000000" w:themeColor="text1"/>
        </w:rPr>
        <w:t>the references cited by that review were</w:t>
      </w:r>
      <w:r w:rsidR="00060974">
        <w:rPr>
          <w:color w:val="000000" w:themeColor="text1"/>
        </w:rPr>
        <w:t xml:space="preserve"> captured</w:t>
      </w:r>
      <w:r w:rsidR="00374566">
        <w:rPr>
          <w:color w:val="000000" w:themeColor="text1"/>
        </w:rPr>
        <w:t xml:space="preserve"> by our search</w:t>
      </w:r>
      <w:r w:rsidR="00060974">
        <w:rPr>
          <w:color w:val="000000" w:themeColor="text1"/>
        </w:rPr>
        <w:t xml:space="preserve">. </w:t>
      </w:r>
      <w:r w:rsidR="002B16B3" w:rsidRPr="00636CA3">
        <w:rPr>
          <w:color w:val="000000" w:themeColor="text1"/>
        </w:rPr>
        <w:t xml:space="preserve">We will then use </w:t>
      </w:r>
      <w:r w:rsidR="004C5FFB">
        <w:rPr>
          <w:color w:val="000000" w:themeColor="text1"/>
        </w:rPr>
        <w:t>Citation Chaser</w:t>
      </w:r>
      <w:r w:rsidR="002B16B3" w:rsidRPr="00636CA3">
        <w:rPr>
          <w:color w:val="000000" w:themeColor="text1"/>
        </w:rPr>
        <w:t xml:space="preserve"> </w:t>
      </w:r>
      <w:r w:rsidR="00510B5C" w:rsidRPr="00636CA3">
        <w:rPr>
          <w:color w:val="000000" w:themeColor="text1"/>
        </w:rPr>
        <w:t>(https://estech.shinyapps.io/citationchaser/) (Haddaway et al., 2022)</w:t>
      </w:r>
      <w:r w:rsidR="00510B5C">
        <w:rPr>
          <w:color w:val="000000" w:themeColor="text1"/>
        </w:rPr>
        <w:t xml:space="preserve"> </w:t>
      </w:r>
      <w:r w:rsidR="002B16B3" w:rsidRPr="00636CA3">
        <w:rPr>
          <w:color w:val="000000" w:themeColor="text1"/>
        </w:rPr>
        <w:t>to identify other relevant studies</w:t>
      </w:r>
      <w:r w:rsidR="00510B5C">
        <w:rPr>
          <w:color w:val="000000" w:themeColor="text1"/>
        </w:rPr>
        <w:t xml:space="preserve">, including any potentially relevant gray literature </w:t>
      </w:r>
      <w:r w:rsidR="002B16B3" w:rsidRPr="00636CA3">
        <w:rPr>
          <w:color w:val="000000" w:themeColor="text1"/>
        </w:rPr>
        <w:t>. The rationale for this approach is based on our experience with</w:t>
      </w:r>
      <w:r w:rsidRPr="00636CA3">
        <w:rPr>
          <w:color w:val="000000" w:themeColor="text1"/>
        </w:rPr>
        <w:t xml:space="preserve"> other reviews</w:t>
      </w:r>
      <w:r w:rsidR="002B16B3" w:rsidRPr="00636CA3">
        <w:rPr>
          <w:color w:val="000000" w:themeColor="text1"/>
        </w:rPr>
        <w:t>, which had incredibly diverse sources of articles. This approach provide</w:t>
      </w:r>
      <w:r w:rsidRPr="00636CA3">
        <w:rPr>
          <w:color w:val="000000" w:themeColor="text1"/>
        </w:rPr>
        <w:t>s</w:t>
      </w:r>
      <w:r w:rsidR="002B16B3" w:rsidRPr="00636CA3">
        <w:rPr>
          <w:color w:val="000000" w:themeColor="text1"/>
        </w:rPr>
        <w:t xml:space="preserve"> the most comprehensive review of the literature.</w:t>
      </w:r>
      <w:r w:rsidR="00636CA3">
        <w:rPr>
          <w:color w:val="000000" w:themeColor="text1"/>
        </w:rPr>
        <w:t xml:space="preserve"> </w:t>
      </w:r>
    </w:p>
    <w:p w14:paraId="369700CC" w14:textId="77777777" w:rsidR="00636CA3" w:rsidRDefault="00636CA3" w:rsidP="00072235">
      <w:pPr>
        <w:rPr>
          <w:color w:val="000000" w:themeColor="text1"/>
        </w:rPr>
      </w:pPr>
      <w:r>
        <w:rPr>
          <w:color w:val="000000" w:themeColor="text1"/>
        </w:rPr>
        <w:tab/>
        <w:t>Also, we will hand-search the reference lists of all records passing full-text screening for any additional relevant references.</w:t>
      </w:r>
    </w:p>
    <w:p w14:paraId="4097DECA" w14:textId="35EBEB8E" w:rsidR="00072235" w:rsidRPr="00636CA3" w:rsidRDefault="00636CA3" w:rsidP="00072235">
      <w:pPr>
        <w:rPr>
          <w:color w:val="000000" w:themeColor="text1"/>
        </w:rPr>
      </w:pPr>
      <w:r>
        <w:rPr>
          <w:color w:val="000000" w:themeColor="text1"/>
        </w:rPr>
        <w:tab/>
        <w:t>We will not be contacting study authors for additional references.</w:t>
      </w:r>
      <w:r w:rsidR="00374566">
        <w:rPr>
          <w:color w:val="000000" w:themeColor="text1"/>
        </w:rPr>
        <w:t xml:space="preserve"> We will not be searching conference abstracts as the abstracts from the two that were considered most relevant to our topic (Poultry Science Association Annual Meetings, International Association of Food Protection Annual Meetings) are &lt; 1000 words.</w:t>
      </w:r>
    </w:p>
    <w:p w14:paraId="544218CC" w14:textId="77777777" w:rsidR="00A84836" w:rsidRDefault="00A84836" w:rsidP="00A84836">
      <w:pPr>
        <w:rPr>
          <w:color w:val="000000" w:themeColor="text1"/>
        </w:rPr>
      </w:pPr>
    </w:p>
    <w:p w14:paraId="49D75788" w14:textId="68486AEA" w:rsidR="00A84836" w:rsidRDefault="00A21007" w:rsidP="00A21007">
      <w:pPr>
        <w:pStyle w:val="Heading2"/>
      </w:pPr>
      <w:r>
        <w:t>2.3. Search strategy</w:t>
      </w:r>
    </w:p>
    <w:p w14:paraId="0A8741ED" w14:textId="0633C472" w:rsidR="00A21007" w:rsidRPr="00513BFD" w:rsidRDefault="00415220" w:rsidP="00A21007">
      <w:pPr>
        <w:rPr>
          <w:color w:val="000000" w:themeColor="text1"/>
        </w:rPr>
      </w:pPr>
      <w:r w:rsidRPr="00513BFD">
        <w:rPr>
          <w:color w:val="000000" w:themeColor="text1"/>
        </w:rPr>
        <w:tab/>
      </w:r>
      <w:r w:rsidR="009C3020" w:rsidRPr="00513BFD">
        <w:rPr>
          <w:color w:val="000000" w:themeColor="text1"/>
        </w:rPr>
        <w:t>Table 1 illustrates the search strategy for PubMed, which incorporates the PCC framework: 1) the study population (raw poultry products), 2) the context (</w:t>
      </w:r>
      <w:r w:rsidR="009C3020" w:rsidRPr="002F5DCE">
        <w:rPr>
          <w:i/>
          <w:iCs/>
          <w:color w:val="000000" w:themeColor="text1"/>
        </w:rPr>
        <w:t>Salmonella</w:t>
      </w:r>
      <w:r w:rsidR="009C3020" w:rsidRPr="00513BFD">
        <w:rPr>
          <w:color w:val="000000" w:themeColor="text1"/>
        </w:rPr>
        <w:t xml:space="preserve"> mitigation strategies), and 3) the setting/context (applied during processing).</w:t>
      </w:r>
      <w:r w:rsidR="00060974">
        <w:rPr>
          <w:color w:val="000000" w:themeColor="text1"/>
        </w:rPr>
        <w:t xml:space="preserve"> </w:t>
      </w:r>
      <w:r w:rsidR="000053CA">
        <w:rPr>
          <w:color w:val="000000" w:themeColor="text1"/>
        </w:rPr>
        <w:t>There will be no restrictions on date of publication or type of publication.</w:t>
      </w:r>
    </w:p>
    <w:p w14:paraId="61754136" w14:textId="77777777" w:rsidR="00554F21" w:rsidRPr="00513BFD" w:rsidRDefault="00554F21" w:rsidP="00A21007">
      <w:pPr>
        <w:rPr>
          <w:color w:val="000000" w:themeColor="text1"/>
        </w:rPr>
      </w:pPr>
    </w:p>
    <w:p w14:paraId="07480759" w14:textId="4E33C3A1" w:rsidR="00554F21" w:rsidRDefault="00554F21" w:rsidP="00A21007">
      <w:pPr>
        <w:rPr>
          <w:color w:val="000000" w:themeColor="text1"/>
        </w:rPr>
      </w:pPr>
      <w:r w:rsidRPr="00554F21">
        <w:rPr>
          <w:b/>
          <w:bCs/>
          <w:color w:val="000000" w:themeColor="text1"/>
        </w:rPr>
        <w:t>Table 1.</w:t>
      </w:r>
      <w:r w:rsidRPr="00554F21">
        <w:rPr>
          <w:color w:val="000000" w:themeColor="text1"/>
        </w:rPr>
        <w:t xml:space="preserve"> Proposed search strategy in PubMed for a scoping review of interventions for </w:t>
      </w:r>
      <w:r w:rsidRPr="00554F21">
        <w:rPr>
          <w:i/>
          <w:iCs/>
          <w:color w:val="000000" w:themeColor="text1"/>
        </w:rPr>
        <w:t xml:space="preserve">Salmonella </w:t>
      </w:r>
      <w:r w:rsidRPr="00554F21">
        <w:rPr>
          <w:color w:val="000000" w:themeColor="text1"/>
        </w:rPr>
        <w:t>contamination in raw poultry products during processing</w:t>
      </w:r>
      <w:r w:rsidR="00774BDF">
        <w:rPr>
          <w:color w:val="000000" w:themeColor="text1"/>
        </w:rPr>
        <w:t xml:space="preserve"> (conducted on 23 December 2024)</w:t>
      </w:r>
      <w:r w:rsidRPr="00554F21">
        <w:rPr>
          <w:color w:val="000000" w:themeColor="text1"/>
        </w:rPr>
        <w:t>.</w:t>
      </w:r>
    </w:p>
    <w:p w14:paraId="603B2778" w14:textId="224B4234" w:rsidR="007F647D" w:rsidRPr="007F647D" w:rsidRDefault="007F647D" w:rsidP="00A21007">
      <w:pPr>
        <w:rPr>
          <w:color w:val="ED0000"/>
        </w:rPr>
      </w:pPr>
    </w:p>
    <w:p w14:paraId="631A0C34" w14:textId="77777777" w:rsidR="009C3020" w:rsidRDefault="009C3020" w:rsidP="00A21007">
      <w:pPr>
        <w:rPr>
          <w:color w:val="ED0000"/>
        </w:rPr>
      </w:pPr>
    </w:p>
    <w:tbl>
      <w:tblPr>
        <w:tblStyle w:val="TableGrid"/>
        <w:tblW w:w="0" w:type="auto"/>
        <w:tblLook w:val="04A0" w:firstRow="1" w:lastRow="0" w:firstColumn="1" w:lastColumn="0" w:noHBand="0" w:noVBand="1"/>
      </w:tblPr>
      <w:tblGrid>
        <w:gridCol w:w="1449"/>
        <w:gridCol w:w="6486"/>
        <w:gridCol w:w="1415"/>
      </w:tblGrid>
      <w:tr w:rsidR="00602D93" w14:paraId="10607118" w14:textId="77777777" w:rsidTr="00554F21">
        <w:tc>
          <w:tcPr>
            <w:tcW w:w="0" w:type="auto"/>
          </w:tcPr>
          <w:p w14:paraId="68E0EC25" w14:textId="0178DB70" w:rsidR="00554F21" w:rsidRPr="00554F21" w:rsidRDefault="00554F21" w:rsidP="00671EDB">
            <w:pPr>
              <w:jc w:val="center"/>
              <w:rPr>
                <w:b/>
                <w:bCs/>
                <w:color w:val="000000" w:themeColor="text1"/>
              </w:rPr>
            </w:pPr>
            <w:r w:rsidRPr="00554F21">
              <w:rPr>
                <w:b/>
                <w:bCs/>
                <w:color w:val="000000" w:themeColor="text1"/>
              </w:rPr>
              <w:t>Search</w:t>
            </w:r>
          </w:p>
        </w:tc>
        <w:tc>
          <w:tcPr>
            <w:tcW w:w="0" w:type="auto"/>
          </w:tcPr>
          <w:p w14:paraId="17D0397C" w14:textId="49BAB40A" w:rsidR="00554F21" w:rsidRPr="00554F21" w:rsidRDefault="00554F21" w:rsidP="00A21007">
            <w:pPr>
              <w:rPr>
                <w:b/>
                <w:bCs/>
                <w:color w:val="000000" w:themeColor="text1"/>
              </w:rPr>
            </w:pPr>
            <w:r w:rsidRPr="00554F21">
              <w:rPr>
                <w:b/>
                <w:bCs/>
                <w:color w:val="000000" w:themeColor="text1"/>
              </w:rPr>
              <w:t>Search string</w:t>
            </w:r>
          </w:p>
        </w:tc>
        <w:tc>
          <w:tcPr>
            <w:tcW w:w="0" w:type="auto"/>
          </w:tcPr>
          <w:p w14:paraId="2A3A0F0F" w14:textId="7F5A293E" w:rsidR="00554F21" w:rsidRPr="00554F21" w:rsidRDefault="00554F21" w:rsidP="00A21007">
            <w:pPr>
              <w:rPr>
                <w:b/>
                <w:bCs/>
                <w:color w:val="000000" w:themeColor="text1"/>
              </w:rPr>
            </w:pPr>
            <w:r w:rsidRPr="00554F21">
              <w:rPr>
                <w:b/>
                <w:bCs/>
                <w:color w:val="000000" w:themeColor="text1"/>
              </w:rPr>
              <w:t>Number of hits</w:t>
            </w:r>
          </w:p>
        </w:tc>
      </w:tr>
      <w:tr w:rsidR="00602D93" w14:paraId="0FC73A2B" w14:textId="77777777" w:rsidTr="00554F21">
        <w:tc>
          <w:tcPr>
            <w:tcW w:w="0" w:type="auto"/>
          </w:tcPr>
          <w:p w14:paraId="5EDF5380" w14:textId="000582CE" w:rsidR="00554F21" w:rsidRDefault="00671EDB" w:rsidP="00671EDB">
            <w:pPr>
              <w:jc w:val="center"/>
              <w:rPr>
                <w:color w:val="000000" w:themeColor="text1"/>
              </w:rPr>
            </w:pPr>
            <w:r>
              <w:rPr>
                <w:color w:val="000000" w:themeColor="text1"/>
              </w:rPr>
              <w:lastRenderedPageBreak/>
              <w:t>1</w:t>
            </w:r>
            <w:r w:rsidR="00AB1156">
              <w:rPr>
                <w:color w:val="000000" w:themeColor="text1"/>
              </w:rPr>
              <w:t xml:space="preserve"> (population)</w:t>
            </w:r>
          </w:p>
        </w:tc>
        <w:tc>
          <w:tcPr>
            <w:tcW w:w="0" w:type="auto"/>
          </w:tcPr>
          <w:p w14:paraId="1F71971F" w14:textId="50F41B71" w:rsidR="00554F21" w:rsidRDefault="003404F5" w:rsidP="003404F5">
            <w:pPr>
              <w:rPr>
                <w:color w:val="000000" w:themeColor="text1"/>
              </w:rPr>
            </w:pPr>
            <w:r w:rsidRPr="003404F5">
              <w:rPr>
                <w:color w:val="000000" w:themeColor="text1"/>
              </w:rPr>
              <w:t>chicken* OR</w:t>
            </w:r>
            <w:r>
              <w:rPr>
                <w:color w:val="000000" w:themeColor="text1"/>
              </w:rPr>
              <w:t xml:space="preserve"> </w:t>
            </w:r>
            <w:r w:rsidRPr="003404F5">
              <w:rPr>
                <w:color w:val="000000" w:themeColor="text1"/>
              </w:rPr>
              <w:t>poultry OR broiler* OR gallus*</w:t>
            </w:r>
            <w:r>
              <w:rPr>
                <w:color w:val="000000" w:themeColor="text1"/>
              </w:rPr>
              <w:t xml:space="preserve"> OR turkey*</w:t>
            </w:r>
          </w:p>
          <w:p w14:paraId="38932EAA" w14:textId="468D425B" w:rsidR="00750E2E" w:rsidRDefault="00750E2E" w:rsidP="003404F5">
            <w:pPr>
              <w:rPr>
                <w:color w:val="000000" w:themeColor="text1"/>
              </w:rPr>
            </w:pPr>
          </w:p>
        </w:tc>
        <w:tc>
          <w:tcPr>
            <w:tcW w:w="0" w:type="auto"/>
          </w:tcPr>
          <w:p w14:paraId="01720F72" w14:textId="744E7D99" w:rsidR="00554F21" w:rsidRPr="002F5DCE" w:rsidRDefault="00774BDF" w:rsidP="00A21007">
            <w:pPr>
              <w:rPr>
                <w:color w:val="000000" w:themeColor="text1"/>
                <w:highlight w:val="yellow"/>
              </w:rPr>
            </w:pPr>
            <w:r w:rsidRPr="00774BDF">
              <w:rPr>
                <w:color w:val="000000" w:themeColor="text1"/>
              </w:rPr>
              <w:t>202,355</w:t>
            </w:r>
          </w:p>
        </w:tc>
      </w:tr>
      <w:tr w:rsidR="00602D93" w14:paraId="0058A4A3" w14:textId="77777777" w:rsidTr="00554F21">
        <w:tc>
          <w:tcPr>
            <w:tcW w:w="0" w:type="auto"/>
          </w:tcPr>
          <w:p w14:paraId="3A10C369" w14:textId="221E55C9" w:rsidR="009D73F7" w:rsidRDefault="009D73F7" w:rsidP="00671EDB">
            <w:pPr>
              <w:jc w:val="center"/>
              <w:rPr>
                <w:color w:val="000000" w:themeColor="text1"/>
              </w:rPr>
            </w:pPr>
            <w:r>
              <w:rPr>
                <w:color w:val="000000" w:themeColor="text1"/>
              </w:rPr>
              <w:t>2</w:t>
            </w:r>
          </w:p>
          <w:p w14:paraId="690F4E79" w14:textId="31AFA319" w:rsidR="00554F21" w:rsidRDefault="00AB1156" w:rsidP="00671EDB">
            <w:pPr>
              <w:jc w:val="center"/>
              <w:rPr>
                <w:color w:val="000000" w:themeColor="text1"/>
              </w:rPr>
            </w:pPr>
            <w:r>
              <w:rPr>
                <w:color w:val="000000" w:themeColor="text1"/>
              </w:rPr>
              <w:t>(concept)</w:t>
            </w:r>
          </w:p>
        </w:tc>
        <w:tc>
          <w:tcPr>
            <w:tcW w:w="0" w:type="auto"/>
          </w:tcPr>
          <w:p w14:paraId="5E608881" w14:textId="7FF3817B" w:rsidR="00554F21" w:rsidRDefault="003404F5" w:rsidP="00A21007">
            <w:pPr>
              <w:rPr>
                <w:color w:val="000000" w:themeColor="text1"/>
              </w:rPr>
            </w:pPr>
            <w:r w:rsidRPr="00C41254">
              <w:rPr>
                <w:i/>
                <w:iCs/>
                <w:color w:val="000000" w:themeColor="text1"/>
              </w:rPr>
              <w:t>Salmonell</w:t>
            </w:r>
            <w:r w:rsidR="00C655E2" w:rsidRPr="00C41254">
              <w:rPr>
                <w:i/>
                <w:iCs/>
                <w:color w:val="000000" w:themeColor="text1"/>
              </w:rPr>
              <w:t>a</w:t>
            </w:r>
            <w:r w:rsidRPr="003404F5">
              <w:rPr>
                <w:color w:val="000000" w:themeColor="text1"/>
              </w:rPr>
              <w:t xml:space="preserve"> </w:t>
            </w:r>
            <w:r w:rsidR="00B92591">
              <w:rPr>
                <w:color w:val="000000" w:themeColor="text1"/>
              </w:rPr>
              <w:t xml:space="preserve">[Title/Abstract] </w:t>
            </w:r>
            <w:r w:rsidR="00943071">
              <w:rPr>
                <w:color w:val="000000" w:themeColor="text1"/>
              </w:rPr>
              <w:t xml:space="preserve">OR </w:t>
            </w:r>
            <w:r w:rsidR="00943071" w:rsidRPr="00C41254">
              <w:rPr>
                <w:i/>
                <w:iCs/>
                <w:color w:val="000000" w:themeColor="text1"/>
              </w:rPr>
              <w:t>Salmonella</w:t>
            </w:r>
            <w:r w:rsidR="00943071">
              <w:rPr>
                <w:color w:val="000000" w:themeColor="text1"/>
              </w:rPr>
              <w:t xml:space="preserve"> [MeSH]</w:t>
            </w:r>
          </w:p>
          <w:p w14:paraId="0B426EE9" w14:textId="64C66DE7" w:rsidR="003B2A37" w:rsidRDefault="003B2A37" w:rsidP="00A21007">
            <w:pPr>
              <w:rPr>
                <w:color w:val="000000" w:themeColor="text1"/>
              </w:rPr>
            </w:pPr>
          </w:p>
        </w:tc>
        <w:tc>
          <w:tcPr>
            <w:tcW w:w="0" w:type="auto"/>
          </w:tcPr>
          <w:p w14:paraId="0EA58E81" w14:textId="1B11AEDB" w:rsidR="00554F21" w:rsidRPr="002F5DCE" w:rsidRDefault="00C41254" w:rsidP="00A21007">
            <w:pPr>
              <w:rPr>
                <w:color w:val="000000" w:themeColor="text1"/>
                <w:highlight w:val="yellow"/>
              </w:rPr>
            </w:pPr>
            <w:r w:rsidRPr="00C41254">
              <w:rPr>
                <w:color w:val="000000" w:themeColor="text1"/>
              </w:rPr>
              <w:t>103,200</w:t>
            </w:r>
          </w:p>
        </w:tc>
      </w:tr>
      <w:tr w:rsidR="00602D93" w14:paraId="4BCF3610" w14:textId="77777777" w:rsidTr="00554F21">
        <w:tc>
          <w:tcPr>
            <w:tcW w:w="0" w:type="auto"/>
          </w:tcPr>
          <w:p w14:paraId="1E1BF8C7" w14:textId="77777777" w:rsidR="009D73F7" w:rsidRDefault="009D73F7" w:rsidP="00671EDB">
            <w:pPr>
              <w:jc w:val="center"/>
              <w:rPr>
                <w:color w:val="000000" w:themeColor="text1"/>
              </w:rPr>
            </w:pPr>
            <w:r>
              <w:rPr>
                <w:color w:val="000000" w:themeColor="text1"/>
              </w:rPr>
              <w:t>3</w:t>
            </w:r>
          </w:p>
          <w:p w14:paraId="702DCEB1" w14:textId="6E326365" w:rsidR="00554F21" w:rsidRDefault="00DE7706" w:rsidP="00671EDB">
            <w:pPr>
              <w:jc w:val="center"/>
              <w:rPr>
                <w:color w:val="000000" w:themeColor="text1"/>
              </w:rPr>
            </w:pPr>
            <w:r>
              <w:rPr>
                <w:color w:val="000000" w:themeColor="text1"/>
              </w:rPr>
              <w:t>(concept)</w:t>
            </w:r>
          </w:p>
        </w:tc>
        <w:tc>
          <w:tcPr>
            <w:tcW w:w="0" w:type="auto"/>
          </w:tcPr>
          <w:p w14:paraId="31E982C9" w14:textId="037DC95B" w:rsidR="00AB1156" w:rsidRDefault="00AB1156" w:rsidP="00AB1156">
            <w:pPr>
              <w:rPr>
                <w:color w:val="000000" w:themeColor="text1"/>
              </w:rPr>
            </w:pPr>
            <w:r>
              <w:rPr>
                <w:color w:val="000000" w:themeColor="text1"/>
              </w:rPr>
              <w:t>rins* OR</w:t>
            </w:r>
            <w:r>
              <w:t xml:space="preserve"> </w:t>
            </w:r>
            <w:r w:rsidRPr="004B35C3">
              <w:rPr>
                <w:color w:val="000000" w:themeColor="text1"/>
              </w:rPr>
              <w:t>disinfect</w:t>
            </w:r>
            <w:r>
              <w:rPr>
                <w:color w:val="000000" w:themeColor="text1"/>
              </w:rPr>
              <w:t>* OR spray* OR wash*</w:t>
            </w:r>
            <w:r w:rsidR="00DE7706">
              <w:rPr>
                <w:color w:val="000000" w:themeColor="text1"/>
              </w:rPr>
              <w:t xml:space="preserve"> OR dip</w:t>
            </w:r>
            <w:r w:rsidR="00013BD4">
              <w:rPr>
                <w:color w:val="000000" w:themeColor="text1"/>
              </w:rPr>
              <w:t xml:space="preserve"> OR decontaminat* OR sanitize* OR inactivat*</w:t>
            </w:r>
            <w:r w:rsidR="00930921">
              <w:rPr>
                <w:color w:val="000000" w:themeColor="text1"/>
              </w:rPr>
              <w:t xml:space="preserve"> OR control* OR limit* OR intervention* OR reduc*</w:t>
            </w:r>
            <w:r w:rsidR="00602D93">
              <w:rPr>
                <w:color w:val="000000" w:themeColor="text1"/>
              </w:rPr>
              <w:t xml:space="preserve"> OR antimicrobial OR inhibit* OR prevent* OR treatment*</w:t>
            </w:r>
          </w:p>
          <w:p w14:paraId="3C6CA403" w14:textId="6DF8E43E" w:rsidR="00554F21" w:rsidRDefault="00554F21" w:rsidP="00A21007">
            <w:pPr>
              <w:rPr>
                <w:color w:val="000000" w:themeColor="text1"/>
              </w:rPr>
            </w:pPr>
          </w:p>
          <w:p w14:paraId="285F62A6" w14:textId="4B778BDA" w:rsidR="003B2A37" w:rsidRDefault="003B2A37" w:rsidP="00A21007">
            <w:pPr>
              <w:rPr>
                <w:color w:val="000000" w:themeColor="text1"/>
              </w:rPr>
            </w:pPr>
          </w:p>
        </w:tc>
        <w:tc>
          <w:tcPr>
            <w:tcW w:w="0" w:type="auto"/>
          </w:tcPr>
          <w:p w14:paraId="6E584801" w14:textId="15095D28" w:rsidR="00554F21" w:rsidRPr="00C41254" w:rsidRDefault="00C41254" w:rsidP="00A21007">
            <w:pPr>
              <w:rPr>
                <w:color w:val="FF0000"/>
                <w:highlight w:val="yellow"/>
              </w:rPr>
            </w:pPr>
            <w:r w:rsidRPr="00C41254">
              <w:t>16,082,269</w:t>
            </w:r>
          </w:p>
        </w:tc>
      </w:tr>
      <w:tr w:rsidR="00B92591" w14:paraId="3D9BCF18" w14:textId="77777777" w:rsidTr="00554F21">
        <w:tc>
          <w:tcPr>
            <w:tcW w:w="0" w:type="auto"/>
          </w:tcPr>
          <w:p w14:paraId="21DCFB8F" w14:textId="77777777" w:rsidR="009D73F7" w:rsidRDefault="009D73F7" w:rsidP="00DE7706">
            <w:pPr>
              <w:jc w:val="center"/>
              <w:rPr>
                <w:color w:val="000000" w:themeColor="text1"/>
              </w:rPr>
            </w:pPr>
            <w:r>
              <w:rPr>
                <w:color w:val="000000" w:themeColor="text1"/>
              </w:rPr>
              <w:t>4</w:t>
            </w:r>
          </w:p>
          <w:p w14:paraId="0BFF4679" w14:textId="38514BFD" w:rsidR="00DE7706" w:rsidRDefault="00DE7706" w:rsidP="00DE7706">
            <w:pPr>
              <w:jc w:val="center"/>
              <w:rPr>
                <w:color w:val="000000" w:themeColor="text1"/>
              </w:rPr>
            </w:pPr>
            <w:r>
              <w:rPr>
                <w:color w:val="000000" w:themeColor="text1"/>
              </w:rPr>
              <w:t>(context)</w:t>
            </w:r>
          </w:p>
        </w:tc>
        <w:tc>
          <w:tcPr>
            <w:tcW w:w="0" w:type="auto"/>
          </w:tcPr>
          <w:p w14:paraId="28716E1B" w14:textId="57E8142B" w:rsidR="00DE7706" w:rsidRDefault="00DE7706" w:rsidP="00DE7706">
            <w:pPr>
              <w:rPr>
                <w:color w:val="000000" w:themeColor="text1"/>
              </w:rPr>
            </w:pPr>
            <w:r>
              <w:rPr>
                <w:color w:val="000000" w:themeColor="text1"/>
              </w:rPr>
              <w:t xml:space="preserve">process* OR product* OR slaughter* </w:t>
            </w:r>
            <w:r w:rsidR="001079F2">
              <w:rPr>
                <w:color w:val="000000" w:themeColor="text1"/>
              </w:rPr>
              <w:t xml:space="preserve">OR </w:t>
            </w:r>
            <w:r w:rsidR="001079F2" w:rsidRPr="001079F2">
              <w:rPr>
                <w:color w:val="000000" w:themeColor="text1"/>
              </w:rPr>
              <w:t>chill* OR “post-chill” OR “postchill”</w:t>
            </w:r>
            <w:r w:rsidR="001079F2">
              <w:rPr>
                <w:color w:val="000000" w:themeColor="text1"/>
              </w:rPr>
              <w:t xml:space="preserve"> </w:t>
            </w:r>
            <w:r w:rsidR="001079F2" w:rsidRPr="001079F2">
              <w:rPr>
                <w:color w:val="000000" w:themeColor="text1"/>
              </w:rPr>
              <w:t>OR eviscerat* OR defeather* OR scald*</w:t>
            </w:r>
            <w:r w:rsidR="000B01E5">
              <w:t xml:space="preserve"> </w:t>
            </w:r>
            <w:r w:rsidR="000B01E5" w:rsidRPr="000B01E5">
              <w:rPr>
                <w:color w:val="000000" w:themeColor="text1"/>
              </w:rPr>
              <w:t>OR receiving OR prechill OR “pre-chill”</w:t>
            </w:r>
          </w:p>
          <w:p w14:paraId="5B3F4AED" w14:textId="13289C61" w:rsidR="00930921" w:rsidRDefault="00930921" w:rsidP="00DE7706">
            <w:pPr>
              <w:rPr>
                <w:color w:val="000000" w:themeColor="text1"/>
              </w:rPr>
            </w:pPr>
          </w:p>
        </w:tc>
        <w:tc>
          <w:tcPr>
            <w:tcW w:w="0" w:type="auto"/>
          </w:tcPr>
          <w:p w14:paraId="262A3E11" w14:textId="20FDA361" w:rsidR="00DE7706" w:rsidRPr="00C41254" w:rsidRDefault="004C25CA" w:rsidP="00DE7706">
            <w:pPr>
              <w:rPr>
                <w:color w:val="FF0000"/>
                <w:highlight w:val="yellow"/>
              </w:rPr>
            </w:pPr>
            <w:r w:rsidRPr="004C25CA">
              <w:t>5,416,131</w:t>
            </w:r>
          </w:p>
        </w:tc>
      </w:tr>
      <w:tr w:rsidR="00B92591" w14:paraId="51CB192F" w14:textId="77777777" w:rsidTr="00554F21">
        <w:tc>
          <w:tcPr>
            <w:tcW w:w="0" w:type="auto"/>
          </w:tcPr>
          <w:p w14:paraId="0CEBF3A0" w14:textId="77777777" w:rsidR="00DE7706" w:rsidRDefault="00013BD4" w:rsidP="00DE7706">
            <w:pPr>
              <w:jc w:val="center"/>
              <w:rPr>
                <w:color w:val="000000" w:themeColor="text1"/>
              </w:rPr>
            </w:pPr>
            <w:r>
              <w:rPr>
                <w:color w:val="000000" w:themeColor="text1"/>
              </w:rPr>
              <w:t>5</w:t>
            </w:r>
          </w:p>
          <w:p w14:paraId="1066FC98" w14:textId="013B1656" w:rsidR="00013BD4" w:rsidRDefault="00013BD4" w:rsidP="00DE7706">
            <w:pPr>
              <w:jc w:val="center"/>
              <w:rPr>
                <w:color w:val="000000" w:themeColor="text1"/>
              </w:rPr>
            </w:pPr>
          </w:p>
        </w:tc>
        <w:tc>
          <w:tcPr>
            <w:tcW w:w="0" w:type="auto"/>
          </w:tcPr>
          <w:p w14:paraId="59F50FE9" w14:textId="665F2531" w:rsidR="00DE7706" w:rsidRDefault="004901B2" w:rsidP="00DE7706">
            <w:pPr>
              <w:rPr>
                <w:color w:val="000000" w:themeColor="text1"/>
              </w:rPr>
            </w:pPr>
            <w:r>
              <w:rPr>
                <w:color w:val="000000" w:themeColor="text1"/>
              </w:rPr>
              <w:t>#1 AND #2 AND #3 AND #4</w:t>
            </w:r>
          </w:p>
        </w:tc>
        <w:tc>
          <w:tcPr>
            <w:tcW w:w="0" w:type="auto"/>
          </w:tcPr>
          <w:p w14:paraId="29703C6E" w14:textId="1C1559C9" w:rsidR="00DE7706" w:rsidRPr="00C41254" w:rsidRDefault="00511A87" w:rsidP="00DE7706">
            <w:pPr>
              <w:rPr>
                <w:b/>
                <w:bCs/>
                <w:color w:val="FF0000"/>
                <w:highlight w:val="yellow"/>
              </w:rPr>
            </w:pPr>
            <w:r w:rsidRPr="00511A87">
              <w:rPr>
                <w:b/>
                <w:bCs/>
              </w:rPr>
              <w:t>3,016</w:t>
            </w:r>
          </w:p>
        </w:tc>
      </w:tr>
    </w:tbl>
    <w:p w14:paraId="390939A6" w14:textId="77777777" w:rsidR="00A21007" w:rsidRDefault="00A21007" w:rsidP="00A21007">
      <w:pPr>
        <w:rPr>
          <w:color w:val="000000" w:themeColor="text1"/>
        </w:rPr>
      </w:pPr>
    </w:p>
    <w:p w14:paraId="13E6F11D" w14:textId="2F69BBC2" w:rsidR="00C05316" w:rsidRDefault="00854BAA" w:rsidP="00A21007">
      <w:pPr>
        <w:rPr>
          <w:color w:val="000000" w:themeColor="text1"/>
        </w:rPr>
      </w:pPr>
      <w:r>
        <w:rPr>
          <w:color w:val="000000" w:themeColor="text1"/>
        </w:rPr>
        <w:t>Polyglot (</w:t>
      </w:r>
      <w:r w:rsidRPr="00854BAA">
        <w:rPr>
          <w:color w:val="000000" w:themeColor="text1"/>
        </w:rPr>
        <w:t>https://sr-accelerator.com/#/polyglot</w:t>
      </w:r>
      <w:r>
        <w:rPr>
          <w:color w:val="000000" w:themeColor="text1"/>
        </w:rPr>
        <w:t xml:space="preserve">) was used to translate the search string into CABI (Web of Science). </w:t>
      </w:r>
    </w:p>
    <w:p w14:paraId="5923C197" w14:textId="77777777" w:rsidR="00854BAA" w:rsidRDefault="00854BAA" w:rsidP="00A21007">
      <w:pPr>
        <w:rPr>
          <w:color w:val="000000" w:themeColor="text1"/>
        </w:rPr>
      </w:pPr>
    </w:p>
    <w:p w14:paraId="2D880934" w14:textId="36A81A7A" w:rsidR="00A21007" w:rsidRDefault="00A21007" w:rsidP="00A21007">
      <w:pPr>
        <w:pStyle w:val="Heading2"/>
      </w:pPr>
      <w:r>
        <w:t>2.4. Study records</w:t>
      </w:r>
    </w:p>
    <w:p w14:paraId="40F56937" w14:textId="15014908" w:rsidR="00A21007" w:rsidRDefault="00B64D65" w:rsidP="00B64D65">
      <w:pPr>
        <w:pStyle w:val="Heading3"/>
      </w:pPr>
      <w:r>
        <w:t>2.4.1. Data management</w:t>
      </w:r>
    </w:p>
    <w:p w14:paraId="6008B944" w14:textId="1A68B65E" w:rsidR="00B64D65" w:rsidRPr="004A2E1F" w:rsidRDefault="00415220" w:rsidP="004A2E1F">
      <w:pPr>
        <w:rPr>
          <w:color w:val="000000" w:themeColor="text1"/>
        </w:rPr>
      </w:pPr>
      <w:r w:rsidRPr="004A2E1F">
        <w:rPr>
          <w:color w:val="000000" w:themeColor="text1"/>
        </w:rPr>
        <w:tab/>
      </w:r>
      <w:r w:rsidR="004A2E1F" w:rsidRPr="004A2E1F">
        <w:rPr>
          <w:color w:val="000000" w:themeColor="text1"/>
        </w:rPr>
        <w:t>Results of each search (PubMed and CABI) will be downloaded as RIS files, which will then be imported into online systematic review software (</w:t>
      </w:r>
      <w:bookmarkStart w:id="4" w:name="_Hlk175742249"/>
      <w:r w:rsidR="004A2E1F" w:rsidRPr="004A2E1F">
        <w:rPr>
          <w:color w:val="000000" w:themeColor="text1"/>
        </w:rPr>
        <w:t>DistillerSR®</w:t>
      </w:r>
      <w:bookmarkEnd w:id="4"/>
      <w:r w:rsidR="004A2E1F" w:rsidRPr="004A2E1F">
        <w:rPr>
          <w:color w:val="000000" w:themeColor="text1"/>
        </w:rPr>
        <w:t>, Ottawa, ON, Canada) and de-duplicated.</w:t>
      </w:r>
    </w:p>
    <w:p w14:paraId="3474EECF" w14:textId="77777777" w:rsidR="009F6CE1" w:rsidRPr="004A2E1F" w:rsidRDefault="009F6CE1" w:rsidP="00640403">
      <w:pPr>
        <w:rPr>
          <w:color w:val="000000" w:themeColor="text1"/>
        </w:rPr>
      </w:pPr>
    </w:p>
    <w:p w14:paraId="2EAFE3BD" w14:textId="682FDDDB" w:rsidR="00ED6A64" w:rsidRDefault="00035FBF" w:rsidP="00035FBF">
      <w:pPr>
        <w:pStyle w:val="Heading3"/>
      </w:pPr>
      <w:r>
        <w:t>2.4.2. Selection process</w:t>
      </w:r>
    </w:p>
    <w:p w14:paraId="3F3EC977" w14:textId="3BB0E7B0" w:rsidR="002A4424" w:rsidRDefault="007F647D" w:rsidP="00035FBF">
      <w:pPr>
        <w:rPr>
          <w:color w:val="000000" w:themeColor="text1"/>
        </w:rPr>
      </w:pPr>
      <w:r w:rsidRPr="002A4424">
        <w:rPr>
          <w:color w:val="000000" w:themeColor="text1"/>
        </w:rPr>
        <w:tab/>
      </w:r>
      <w:r w:rsidR="002A4424" w:rsidRPr="002A4424">
        <w:rPr>
          <w:color w:val="000000" w:themeColor="text1"/>
        </w:rPr>
        <w:t xml:space="preserve">Screening of the search results will occur in two phases. In the first phase (Level 1 screening), each record will be screened based on the title and/or abstract, using a form created in DistillerSR®. Two reviewers (AMOC and SCT), working independently, will pretest the form on the first 100 records from the PubMed search before official screening begins. Subsequently, AMOC and SCT will independently screen the </w:t>
      </w:r>
      <w:r w:rsidR="001D5B22">
        <w:rPr>
          <w:color w:val="000000" w:themeColor="text1"/>
        </w:rPr>
        <w:t>records</w:t>
      </w:r>
      <w:r w:rsidR="00047408" w:rsidRPr="002A4424">
        <w:rPr>
          <w:color w:val="000000" w:themeColor="text1"/>
        </w:rPr>
        <w:t xml:space="preserve"> </w:t>
      </w:r>
      <w:r w:rsidR="002A4424" w:rsidRPr="002A4424">
        <w:rPr>
          <w:color w:val="000000" w:themeColor="text1"/>
        </w:rPr>
        <w:t xml:space="preserve">found in the PubMed </w:t>
      </w:r>
      <w:r w:rsidR="001D5B22">
        <w:rPr>
          <w:color w:val="000000" w:themeColor="text1"/>
        </w:rPr>
        <w:t xml:space="preserve">and CABI </w:t>
      </w:r>
      <w:r w:rsidR="002A4424" w:rsidRPr="002A4424">
        <w:rPr>
          <w:color w:val="000000" w:themeColor="text1"/>
        </w:rPr>
        <w:t>search</w:t>
      </w:r>
      <w:r w:rsidR="001D5B22">
        <w:rPr>
          <w:color w:val="000000" w:themeColor="text1"/>
        </w:rPr>
        <w:t>es</w:t>
      </w:r>
      <w:r w:rsidR="002A4424" w:rsidRPr="002A4424">
        <w:rPr>
          <w:color w:val="000000" w:themeColor="text1"/>
        </w:rPr>
        <w:t xml:space="preserve">. Conflicts will be resolved via discussion. </w:t>
      </w:r>
      <w:r w:rsidR="001D5B22">
        <w:rPr>
          <w:color w:val="000000" w:themeColor="text1"/>
        </w:rPr>
        <w:t xml:space="preserve">For the </w:t>
      </w:r>
      <w:r w:rsidR="001D5B22" w:rsidRPr="001D5B22">
        <w:rPr>
          <w:color w:val="000000" w:themeColor="text1"/>
        </w:rPr>
        <w:t xml:space="preserve">Citation </w:t>
      </w:r>
      <w:r w:rsidR="001D5B22">
        <w:rPr>
          <w:color w:val="000000" w:themeColor="text1"/>
        </w:rPr>
        <w:t xml:space="preserve">Chaser </w:t>
      </w:r>
      <w:r w:rsidR="001D5B22" w:rsidRPr="001D5B22">
        <w:rPr>
          <w:color w:val="000000" w:themeColor="text1"/>
        </w:rPr>
        <w:t xml:space="preserve">search </w:t>
      </w:r>
      <w:r w:rsidR="001D5B22">
        <w:rPr>
          <w:color w:val="000000" w:themeColor="text1"/>
        </w:rPr>
        <w:t xml:space="preserve">results, </w:t>
      </w:r>
      <w:r w:rsidR="001D5B22" w:rsidRPr="001D5B22">
        <w:rPr>
          <w:color w:val="000000" w:themeColor="text1"/>
        </w:rPr>
        <w:t>AOC and S</w:t>
      </w:r>
      <w:r w:rsidR="001D5B22">
        <w:rPr>
          <w:color w:val="000000" w:themeColor="text1"/>
        </w:rPr>
        <w:t>C</w:t>
      </w:r>
      <w:r w:rsidR="001D5B22" w:rsidRPr="001D5B22">
        <w:rPr>
          <w:color w:val="000000" w:themeColor="text1"/>
        </w:rPr>
        <w:t xml:space="preserve">T </w:t>
      </w:r>
      <w:r w:rsidR="001D5B22">
        <w:rPr>
          <w:color w:val="000000" w:themeColor="text1"/>
        </w:rPr>
        <w:t xml:space="preserve">will independently screen each of the first 500 records with any disagreements resolved by discussion. </w:t>
      </w:r>
      <w:r w:rsidR="002A4424" w:rsidRPr="002A4424">
        <w:rPr>
          <w:color w:val="000000" w:themeColor="text1"/>
        </w:rPr>
        <w:t xml:space="preserve"> </w:t>
      </w:r>
      <w:r w:rsidR="001D5B22">
        <w:rPr>
          <w:color w:val="000000" w:themeColor="text1"/>
        </w:rPr>
        <w:t>W</w:t>
      </w:r>
      <w:r w:rsidR="00047408" w:rsidRPr="002A4424">
        <w:rPr>
          <w:color w:val="000000" w:themeColor="text1"/>
        </w:rPr>
        <w:t xml:space="preserve">e will </w:t>
      </w:r>
      <w:r w:rsidR="002A4424" w:rsidRPr="002A4424">
        <w:rPr>
          <w:color w:val="000000" w:themeColor="text1"/>
        </w:rPr>
        <w:t xml:space="preserve">subsequently </w:t>
      </w:r>
      <w:r w:rsidR="00047408" w:rsidRPr="002A4424">
        <w:rPr>
          <w:color w:val="000000" w:themeColor="text1"/>
        </w:rPr>
        <w:t xml:space="preserve">use AI as a </w:t>
      </w:r>
      <w:r w:rsidR="002A4424" w:rsidRPr="002A4424">
        <w:rPr>
          <w:color w:val="000000" w:themeColor="text1"/>
        </w:rPr>
        <w:t xml:space="preserve">second </w:t>
      </w:r>
      <w:r w:rsidR="00047408" w:rsidRPr="002A4424">
        <w:rPr>
          <w:color w:val="000000" w:themeColor="text1"/>
        </w:rPr>
        <w:t xml:space="preserve">reviewer to complete the </w:t>
      </w:r>
      <w:r w:rsidR="002A4424" w:rsidRPr="002A4424">
        <w:rPr>
          <w:color w:val="000000" w:themeColor="text1"/>
        </w:rPr>
        <w:t xml:space="preserve">Level 1 </w:t>
      </w:r>
      <w:r w:rsidR="00047408" w:rsidRPr="002A4424">
        <w:rPr>
          <w:color w:val="000000" w:themeColor="text1"/>
        </w:rPr>
        <w:t>screening.</w:t>
      </w:r>
      <w:r w:rsidR="00967F7A">
        <w:rPr>
          <w:color w:val="000000" w:themeColor="text1"/>
        </w:rPr>
        <w:t xml:space="preserve"> </w:t>
      </w:r>
      <w:r w:rsidR="002A4424">
        <w:rPr>
          <w:color w:val="000000" w:themeColor="text1"/>
        </w:rPr>
        <w:t>For the title/abstract screening, the following question will be used:</w:t>
      </w:r>
    </w:p>
    <w:p w14:paraId="7B5E4570" w14:textId="77777777" w:rsidR="00967F7A" w:rsidRDefault="002A4424" w:rsidP="00035FBF">
      <w:pPr>
        <w:rPr>
          <w:color w:val="000000" w:themeColor="text1"/>
        </w:rPr>
      </w:pPr>
      <w:r>
        <w:rPr>
          <w:color w:val="000000" w:themeColor="text1"/>
        </w:rPr>
        <w:tab/>
      </w:r>
    </w:p>
    <w:p w14:paraId="4482FD1D" w14:textId="35C2C7D1" w:rsidR="002A4424" w:rsidRDefault="000F6017" w:rsidP="00035FBF">
      <w:pPr>
        <w:rPr>
          <w:color w:val="000000" w:themeColor="text1"/>
        </w:rPr>
      </w:pPr>
      <w:r>
        <w:rPr>
          <w:b/>
          <w:bCs/>
          <w:color w:val="000000" w:themeColor="text1"/>
        </w:rPr>
        <w:tab/>
      </w:r>
      <w:r w:rsidR="00967F7A" w:rsidRPr="00967F7A">
        <w:rPr>
          <w:b/>
          <w:bCs/>
          <w:color w:val="000000" w:themeColor="text1"/>
        </w:rPr>
        <w:t>Q1.</w:t>
      </w:r>
      <w:r w:rsidR="00967F7A">
        <w:rPr>
          <w:color w:val="000000" w:themeColor="text1"/>
        </w:rPr>
        <w:t xml:space="preserve"> </w:t>
      </w:r>
      <w:r w:rsidR="002A4424">
        <w:rPr>
          <w:color w:val="000000" w:themeColor="text1"/>
        </w:rPr>
        <w:t xml:space="preserve">Does the </w:t>
      </w:r>
      <w:r w:rsidR="002801E1">
        <w:rPr>
          <w:color w:val="000000" w:themeColor="text1"/>
        </w:rPr>
        <w:t>title and/or abstract</w:t>
      </w:r>
      <w:r w:rsidR="002A4424">
        <w:rPr>
          <w:color w:val="000000" w:themeColor="text1"/>
        </w:rPr>
        <w:t xml:space="preserve"> describe primary research on one or more interventions</w:t>
      </w:r>
      <w:r w:rsidR="00967F7A">
        <w:rPr>
          <w:color w:val="000000" w:themeColor="text1"/>
        </w:rPr>
        <w:t xml:space="preserve"> to </w:t>
      </w:r>
      <w:r w:rsidR="00930547">
        <w:rPr>
          <w:color w:val="000000" w:themeColor="text1"/>
        </w:rPr>
        <w:t xml:space="preserve">reduce </w:t>
      </w:r>
      <w:r w:rsidR="00967F7A" w:rsidRPr="001B104C">
        <w:rPr>
          <w:i/>
          <w:iCs/>
          <w:color w:val="000000" w:themeColor="text1"/>
        </w:rPr>
        <w:t xml:space="preserve">Salmonella </w:t>
      </w:r>
      <w:r w:rsidR="00930547">
        <w:rPr>
          <w:color w:val="000000" w:themeColor="text1"/>
        </w:rPr>
        <w:t>concentration</w:t>
      </w:r>
      <w:r w:rsidR="00967F7A">
        <w:rPr>
          <w:color w:val="000000" w:themeColor="text1"/>
        </w:rPr>
        <w:t xml:space="preserve"> on </w:t>
      </w:r>
      <w:r w:rsidR="00967F7A" w:rsidRPr="00EC489C">
        <w:rPr>
          <w:color w:val="000000" w:themeColor="text1"/>
        </w:rPr>
        <w:t>raw poultry products</w:t>
      </w:r>
      <w:r w:rsidR="00930547" w:rsidRPr="00EC489C">
        <w:rPr>
          <w:color w:val="000000" w:themeColor="text1"/>
        </w:rPr>
        <w:t xml:space="preserve"> that </w:t>
      </w:r>
      <w:r w:rsidR="00FB6F5E">
        <w:rPr>
          <w:color w:val="000000" w:themeColor="text1"/>
        </w:rPr>
        <w:t>are</w:t>
      </w:r>
      <w:r w:rsidR="00930547" w:rsidRPr="00EC489C">
        <w:rPr>
          <w:color w:val="000000" w:themeColor="text1"/>
        </w:rPr>
        <w:t xml:space="preserve"> not </w:t>
      </w:r>
      <w:r w:rsidR="00930547" w:rsidRPr="00EC489C">
        <w:t>comminuted</w:t>
      </w:r>
      <w:r w:rsidR="00967F7A">
        <w:rPr>
          <w:color w:val="000000" w:themeColor="text1"/>
        </w:rPr>
        <w:t xml:space="preserve">, applied during </w:t>
      </w:r>
      <w:r w:rsidR="00A84DB3">
        <w:rPr>
          <w:color w:val="000000" w:themeColor="text1"/>
        </w:rPr>
        <w:t xml:space="preserve">relevant </w:t>
      </w:r>
      <w:r w:rsidR="00967F7A">
        <w:rPr>
          <w:color w:val="000000" w:themeColor="text1"/>
        </w:rPr>
        <w:t>processing</w:t>
      </w:r>
      <w:r w:rsidR="00A84DB3">
        <w:rPr>
          <w:color w:val="000000" w:themeColor="text1"/>
        </w:rPr>
        <w:t xml:space="preserve"> system</w:t>
      </w:r>
      <w:r w:rsidR="00967F7A">
        <w:rPr>
          <w:color w:val="000000" w:themeColor="text1"/>
        </w:rPr>
        <w:t>?</w:t>
      </w:r>
    </w:p>
    <w:p w14:paraId="6179C420" w14:textId="1C24A237" w:rsidR="00967F7A" w:rsidRPr="00512C95" w:rsidRDefault="00967F7A" w:rsidP="00967F7A">
      <w:pPr>
        <w:pStyle w:val="ListParagraph"/>
        <w:numPr>
          <w:ilvl w:val="0"/>
          <w:numId w:val="1"/>
        </w:numPr>
        <w:rPr>
          <w:rFonts w:ascii="Times New Roman" w:hAnsi="Times New Roman" w:cs="Times New Roman"/>
          <w:szCs w:val="24"/>
        </w:rPr>
      </w:pPr>
      <w:bookmarkStart w:id="5" w:name="_Hlk175745054"/>
      <w:r w:rsidRPr="00512C95">
        <w:rPr>
          <w:rFonts w:ascii="Times New Roman" w:hAnsi="Times New Roman" w:cs="Times New Roman"/>
          <w:szCs w:val="24"/>
        </w:rPr>
        <w:t>Yes (include for full-text evaluation)</w:t>
      </w:r>
    </w:p>
    <w:p w14:paraId="1765E0F6" w14:textId="77777777" w:rsidR="00967F7A" w:rsidRPr="00512C95" w:rsidRDefault="00967F7A" w:rsidP="00967F7A">
      <w:pPr>
        <w:pStyle w:val="ListParagraph"/>
        <w:numPr>
          <w:ilvl w:val="0"/>
          <w:numId w:val="1"/>
        </w:numPr>
        <w:rPr>
          <w:rFonts w:ascii="Times New Roman" w:hAnsi="Times New Roman" w:cs="Times New Roman"/>
          <w:szCs w:val="24"/>
        </w:rPr>
      </w:pPr>
      <w:r w:rsidRPr="00512C95">
        <w:rPr>
          <w:rFonts w:ascii="Times New Roman" w:hAnsi="Times New Roman" w:cs="Times New Roman"/>
          <w:szCs w:val="24"/>
        </w:rPr>
        <w:t>Unclear (include for full-text evaluation)</w:t>
      </w:r>
    </w:p>
    <w:p w14:paraId="3A73EEF8" w14:textId="77777777" w:rsidR="00967F7A" w:rsidRPr="00512C95" w:rsidRDefault="00967F7A" w:rsidP="00967F7A">
      <w:pPr>
        <w:pStyle w:val="ListParagraph"/>
        <w:numPr>
          <w:ilvl w:val="0"/>
          <w:numId w:val="1"/>
        </w:numPr>
        <w:spacing w:after="120"/>
        <w:contextualSpacing w:val="0"/>
        <w:rPr>
          <w:rFonts w:ascii="Times New Roman" w:hAnsi="Times New Roman" w:cs="Times New Roman"/>
          <w:szCs w:val="24"/>
        </w:rPr>
      </w:pPr>
      <w:r w:rsidRPr="00512C95">
        <w:rPr>
          <w:rFonts w:ascii="Times New Roman" w:hAnsi="Times New Roman" w:cs="Times New Roman"/>
          <w:szCs w:val="24"/>
        </w:rPr>
        <w:t xml:space="preserve">No (exclude with no further review) </w:t>
      </w:r>
    </w:p>
    <w:bookmarkEnd w:id="5"/>
    <w:p w14:paraId="53D64B93" w14:textId="4852D7E5" w:rsidR="0016798E" w:rsidRDefault="000F6017" w:rsidP="00035FBF">
      <w:pPr>
        <w:rPr>
          <w:color w:val="000000" w:themeColor="text1"/>
        </w:rPr>
      </w:pPr>
      <w:r>
        <w:rPr>
          <w:color w:val="000000" w:themeColor="text1"/>
        </w:rPr>
        <w:tab/>
      </w:r>
      <w:r w:rsidR="0016798E">
        <w:rPr>
          <w:color w:val="000000" w:themeColor="text1"/>
        </w:rPr>
        <w:t>Records for which the reviewers answered “Yes” or “Unclear” will move to the second phase of screening</w:t>
      </w:r>
      <w:r>
        <w:rPr>
          <w:color w:val="000000" w:themeColor="text1"/>
        </w:rPr>
        <w:t xml:space="preserve"> (Level 2 screening)</w:t>
      </w:r>
      <w:r w:rsidR="0016798E">
        <w:rPr>
          <w:color w:val="000000" w:themeColor="text1"/>
        </w:rPr>
        <w:t xml:space="preserve">, during which the full text will be assessed for eligibility. </w:t>
      </w:r>
      <w:r w:rsidR="0016798E">
        <w:rPr>
          <w:color w:val="000000" w:themeColor="text1"/>
        </w:rPr>
        <w:lastRenderedPageBreak/>
        <w:t xml:space="preserve">Each record will be assessed by two reviewers (AMOC and SCT) working independently on a form which will be created in DistillerSR and pretested on five records. </w:t>
      </w:r>
      <w:r>
        <w:rPr>
          <w:color w:val="000000" w:themeColor="text1"/>
        </w:rPr>
        <w:t>Conflicts will be resolved via discussion. The Level 2 form will be created in DistillerSR and will consist of the following questions:</w:t>
      </w:r>
    </w:p>
    <w:p w14:paraId="1AE402EF" w14:textId="77777777" w:rsidR="00C01904" w:rsidRDefault="00C01904" w:rsidP="00035FBF">
      <w:pPr>
        <w:rPr>
          <w:color w:val="000000" w:themeColor="text1"/>
        </w:rPr>
      </w:pPr>
    </w:p>
    <w:p w14:paraId="22D4C257" w14:textId="03C42470" w:rsidR="00C01904" w:rsidRDefault="00C01904" w:rsidP="00035FBF">
      <w:pPr>
        <w:rPr>
          <w:color w:val="000000" w:themeColor="text1"/>
        </w:rPr>
      </w:pPr>
      <w:r>
        <w:rPr>
          <w:color w:val="000000" w:themeColor="text1"/>
        </w:rPr>
        <w:tab/>
      </w:r>
      <w:r w:rsidRPr="00C01904">
        <w:rPr>
          <w:b/>
          <w:bCs/>
          <w:color w:val="000000" w:themeColor="text1"/>
        </w:rPr>
        <w:t>Q1.</w:t>
      </w:r>
      <w:r>
        <w:rPr>
          <w:color w:val="000000" w:themeColor="text1"/>
        </w:rPr>
        <w:t xml:space="preserve"> Is the full text available</w:t>
      </w:r>
      <w:r w:rsidR="00930547">
        <w:rPr>
          <w:color w:val="000000" w:themeColor="text1"/>
        </w:rPr>
        <w:t xml:space="preserve"> and longer than 1000 words</w:t>
      </w:r>
      <w:r>
        <w:rPr>
          <w:color w:val="000000" w:themeColor="text1"/>
        </w:rPr>
        <w:t>?</w:t>
      </w:r>
    </w:p>
    <w:p w14:paraId="1178745B" w14:textId="774E6FC2" w:rsidR="00C01904" w:rsidRPr="00512C95" w:rsidRDefault="00C01904" w:rsidP="00C01904">
      <w:pPr>
        <w:pStyle w:val="ListParagraph"/>
        <w:numPr>
          <w:ilvl w:val="0"/>
          <w:numId w:val="1"/>
        </w:numPr>
        <w:rPr>
          <w:rFonts w:ascii="Times New Roman" w:hAnsi="Times New Roman" w:cs="Times New Roman"/>
          <w:szCs w:val="24"/>
        </w:rPr>
      </w:pPr>
      <w:bookmarkStart w:id="6" w:name="_Hlk175745434"/>
      <w:r w:rsidRPr="00512C95">
        <w:rPr>
          <w:rFonts w:ascii="Times New Roman" w:hAnsi="Times New Roman" w:cs="Times New Roman"/>
          <w:szCs w:val="24"/>
        </w:rPr>
        <w:t>Yes (</w:t>
      </w:r>
      <w:r>
        <w:rPr>
          <w:rFonts w:ascii="Times New Roman" w:hAnsi="Times New Roman" w:cs="Times New Roman"/>
          <w:szCs w:val="24"/>
        </w:rPr>
        <w:t>proceed to Q2</w:t>
      </w:r>
      <w:r w:rsidRPr="00512C95">
        <w:rPr>
          <w:rFonts w:ascii="Times New Roman" w:hAnsi="Times New Roman" w:cs="Times New Roman"/>
          <w:szCs w:val="24"/>
        </w:rPr>
        <w:t>)</w:t>
      </w:r>
    </w:p>
    <w:p w14:paraId="55148553" w14:textId="46DD8AF2" w:rsidR="00C01904" w:rsidRDefault="00C01904" w:rsidP="00C01904">
      <w:pPr>
        <w:pStyle w:val="ListParagraph"/>
        <w:numPr>
          <w:ilvl w:val="0"/>
          <w:numId w:val="1"/>
        </w:numPr>
        <w:spacing w:after="120"/>
        <w:contextualSpacing w:val="0"/>
        <w:rPr>
          <w:rFonts w:ascii="Times New Roman" w:hAnsi="Times New Roman" w:cs="Times New Roman"/>
          <w:szCs w:val="24"/>
        </w:rPr>
      </w:pPr>
      <w:r w:rsidRPr="00512C95">
        <w:rPr>
          <w:rFonts w:ascii="Times New Roman" w:hAnsi="Times New Roman" w:cs="Times New Roman"/>
          <w:szCs w:val="24"/>
        </w:rPr>
        <w:t>No (exclude)</w:t>
      </w:r>
    </w:p>
    <w:bookmarkEnd w:id="6"/>
    <w:p w14:paraId="2DBC7FBC" w14:textId="5188AB1E" w:rsidR="000F6017" w:rsidRDefault="000F6017" w:rsidP="00035FBF">
      <w:pPr>
        <w:rPr>
          <w:color w:val="000000" w:themeColor="text1"/>
        </w:rPr>
      </w:pPr>
      <w:r>
        <w:rPr>
          <w:b/>
          <w:bCs/>
          <w:color w:val="000000" w:themeColor="text1"/>
        </w:rPr>
        <w:tab/>
      </w:r>
      <w:r w:rsidRPr="000F6017">
        <w:rPr>
          <w:b/>
          <w:bCs/>
          <w:color w:val="000000" w:themeColor="text1"/>
        </w:rPr>
        <w:t>Q</w:t>
      </w:r>
      <w:r w:rsidR="00C01904">
        <w:rPr>
          <w:b/>
          <w:bCs/>
          <w:color w:val="000000" w:themeColor="text1"/>
        </w:rPr>
        <w:t>2</w:t>
      </w:r>
      <w:r w:rsidRPr="000F6017">
        <w:rPr>
          <w:b/>
          <w:bCs/>
          <w:color w:val="000000" w:themeColor="text1"/>
        </w:rPr>
        <w:t>.</w:t>
      </w:r>
      <w:r>
        <w:rPr>
          <w:color w:val="000000" w:themeColor="text1"/>
        </w:rPr>
        <w:t xml:space="preserve"> Is the full text in English?</w:t>
      </w:r>
    </w:p>
    <w:p w14:paraId="6F7D7993" w14:textId="3FD49ED7" w:rsidR="000F6017" w:rsidRPr="00512C95" w:rsidRDefault="000F6017" w:rsidP="000F6017">
      <w:pPr>
        <w:pStyle w:val="ListParagraph"/>
        <w:numPr>
          <w:ilvl w:val="0"/>
          <w:numId w:val="1"/>
        </w:numPr>
        <w:rPr>
          <w:rFonts w:ascii="Times New Roman" w:hAnsi="Times New Roman" w:cs="Times New Roman"/>
          <w:szCs w:val="24"/>
        </w:rPr>
      </w:pPr>
      <w:bookmarkStart w:id="7" w:name="_Hlk175745355"/>
      <w:r w:rsidRPr="00512C95">
        <w:rPr>
          <w:rFonts w:ascii="Times New Roman" w:hAnsi="Times New Roman" w:cs="Times New Roman"/>
          <w:szCs w:val="24"/>
        </w:rPr>
        <w:t>Yes (</w:t>
      </w:r>
      <w:r>
        <w:rPr>
          <w:rFonts w:ascii="Times New Roman" w:hAnsi="Times New Roman" w:cs="Times New Roman"/>
          <w:szCs w:val="24"/>
        </w:rPr>
        <w:t>proceed to Q</w:t>
      </w:r>
      <w:r w:rsidR="00C01904">
        <w:rPr>
          <w:rFonts w:ascii="Times New Roman" w:hAnsi="Times New Roman" w:cs="Times New Roman"/>
          <w:szCs w:val="24"/>
        </w:rPr>
        <w:t>3</w:t>
      </w:r>
      <w:r w:rsidRPr="00512C95">
        <w:rPr>
          <w:rFonts w:ascii="Times New Roman" w:hAnsi="Times New Roman" w:cs="Times New Roman"/>
          <w:szCs w:val="24"/>
        </w:rPr>
        <w:t>)</w:t>
      </w:r>
    </w:p>
    <w:p w14:paraId="19316121" w14:textId="2220957D" w:rsidR="000F6017" w:rsidRDefault="000F6017" w:rsidP="000F6017">
      <w:pPr>
        <w:pStyle w:val="ListParagraph"/>
        <w:numPr>
          <w:ilvl w:val="0"/>
          <w:numId w:val="1"/>
        </w:numPr>
        <w:spacing w:after="120"/>
        <w:contextualSpacing w:val="0"/>
        <w:rPr>
          <w:rFonts w:ascii="Times New Roman" w:hAnsi="Times New Roman" w:cs="Times New Roman"/>
          <w:szCs w:val="24"/>
        </w:rPr>
      </w:pPr>
      <w:r w:rsidRPr="00512C95">
        <w:rPr>
          <w:rFonts w:ascii="Times New Roman" w:hAnsi="Times New Roman" w:cs="Times New Roman"/>
          <w:szCs w:val="24"/>
        </w:rPr>
        <w:t>No (exclude with no further review)</w:t>
      </w:r>
      <w:r w:rsidR="00C01904">
        <w:rPr>
          <w:rFonts w:ascii="Times New Roman" w:hAnsi="Times New Roman" w:cs="Times New Roman"/>
          <w:szCs w:val="24"/>
        </w:rPr>
        <w:t xml:space="preserve"> (specify language) _________</w:t>
      </w:r>
      <w:r w:rsidRPr="00512C95">
        <w:rPr>
          <w:rFonts w:ascii="Times New Roman" w:hAnsi="Times New Roman" w:cs="Times New Roman"/>
          <w:szCs w:val="24"/>
        </w:rPr>
        <w:t xml:space="preserve"> </w:t>
      </w:r>
    </w:p>
    <w:bookmarkEnd w:id="7"/>
    <w:p w14:paraId="523DC283" w14:textId="1915FCB5" w:rsidR="000F6017" w:rsidRDefault="00C01904" w:rsidP="00035FBF">
      <w:pPr>
        <w:rPr>
          <w:color w:val="000000" w:themeColor="text1"/>
        </w:rPr>
      </w:pPr>
      <w:r>
        <w:rPr>
          <w:color w:val="000000" w:themeColor="text1"/>
        </w:rPr>
        <w:tab/>
      </w:r>
      <w:r w:rsidRPr="00C01904">
        <w:rPr>
          <w:b/>
          <w:bCs/>
          <w:color w:val="000000" w:themeColor="text1"/>
        </w:rPr>
        <w:t>Q3.</w:t>
      </w:r>
      <w:r>
        <w:rPr>
          <w:color w:val="000000" w:themeColor="text1"/>
        </w:rPr>
        <w:t xml:space="preserve"> Is this primary research?</w:t>
      </w:r>
    </w:p>
    <w:p w14:paraId="02C69105" w14:textId="4923CA0D" w:rsidR="00C01904" w:rsidRPr="00512C95" w:rsidRDefault="00C01904" w:rsidP="00C01904">
      <w:pPr>
        <w:pStyle w:val="ListParagraph"/>
        <w:numPr>
          <w:ilvl w:val="0"/>
          <w:numId w:val="1"/>
        </w:numPr>
        <w:rPr>
          <w:rFonts w:ascii="Times New Roman" w:hAnsi="Times New Roman" w:cs="Times New Roman"/>
          <w:szCs w:val="24"/>
        </w:rPr>
      </w:pPr>
      <w:bookmarkStart w:id="8" w:name="_Hlk175745534"/>
      <w:r w:rsidRPr="00512C95">
        <w:rPr>
          <w:rFonts w:ascii="Times New Roman" w:hAnsi="Times New Roman" w:cs="Times New Roman"/>
          <w:szCs w:val="24"/>
        </w:rPr>
        <w:t>Yes (</w:t>
      </w:r>
      <w:r>
        <w:rPr>
          <w:rFonts w:ascii="Times New Roman" w:hAnsi="Times New Roman" w:cs="Times New Roman"/>
          <w:szCs w:val="24"/>
        </w:rPr>
        <w:t>proceed to Q4</w:t>
      </w:r>
      <w:r w:rsidRPr="00512C95">
        <w:rPr>
          <w:rFonts w:ascii="Times New Roman" w:hAnsi="Times New Roman" w:cs="Times New Roman"/>
          <w:szCs w:val="24"/>
        </w:rPr>
        <w:t>)</w:t>
      </w:r>
    </w:p>
    <w:p w14:paraId="16B617D4" w14:textId="60C9B0DE" w:rsidR="00C01904" w:rsidRDefault="00C01904" w:rsidP="00C01904">
      <w:pPr>
        <w:pStyle w:val="ListParagraph"/>
        <w:numPr>
          <w:ilvl w:val="0"/>
          <w:numId w:val="1"/>
        </w:numPr>
        <w:spacing w:after="120"/>
        <w:contextualSpacing w:val="0"/>
        <w:rPr>
          <w:rFonts w:ascii="Times New Roman" w:hAnsi="Times New Roman" w:cs="Times New Roman"/>
          <w:szCs w:val="24"/>
        </w:rPr>
      </w:pPr>
      <w:r w:rsidRPr="00512C95">
        <w:rPr>
          <w:rFonts w:ascii="Times New Roman" w:hAnsi="Times New Roman" w:cs="Times New Roman"/>
          <w:szCs w:val="24"/>
        </w:rPr>
        <w:t>No</w:t>
      </w:r>
      <w:r>
        <w:rPr>
          <w:rFonts w:ascii="Times New Roman" w:hAnsi="Times New Roman" w:cs="Times New Roman"/>
          <w:szCs w:val="24"/>
        </w:rPr>
        <w:t xml:space="preserve"> (exclude with no further review)</w:t>
      </w:r>
    </w:p>
    <w:bookmarkEnd w:id="8"/>
    <w:p w14:paraId="5905CC4D" w14:textId="6796B6A1" w:rsidR="00C01904" w:rsidRDefault="00C01904" w:rsidP="00035FBF">
      <w:pPr>
        <w:rPr>
          <w:color w:val="000000" w:themeColor="text1"/>
        </w:rPr>
      </w:pPr>
      <w:r>
        <w:rPr>
          <w:color w:val="000000" w:themeColor="text1"/>
        </w:rPr>
        <w:tab/>
      </w:r>
      <w:r w:rsidRPr="00C01904">
        <w:rPr>
          <w:b/>
          <w:bCs/>
          <w:color w:val="000000" w:themeColor="text1"/>
        </w:rPr>
        <w:t>Q4.</w:t>
      </w:r>
      <w:r>
        <w:rPr>
          <w:color w:val="000000" w:themeColor="text1"/>
        </w:rPr>
        <w:t xml:space="preserve"> Is this research on raw poultry products</w:t>
      </w:r>
      <w:r w:rsidR="002E1996">
        <w:rPr>
          <w:color w:val="000000" w:themeColor="text1"/>
        </w:rPr>
        <w:t xml:space="preserve"> (chicken or turkey)</w:t>
      </w:r>
      <w:r>
        <w:rPr>
          <w:color w:val="000000" w:themeColor="text1"/>
        </w:rPr>
        <w:t xml:space="preserve"> </w:t>
      </w:r>
      <w:r w:rsidR="00930547" w:rsidRPr="00EC489C">
        <w:rPr>
          <w:color w:val="000000" w:themeColor="text1"/>
        </w:rPr>
        <w:t xml:space="preserve">that </w:t>
      </w:r>
      <w:r w:rsidR="00FB6F5E" w:rsidRPr="00EC489C">
        <w:rPr>
          <w:color w:val="000000" w:themeColor="text1"/>
        </w:rPr>
        <w:t>are</w:t>
      </w:r>
      <w:r w:rsidR="00930547" w:rsidRPr="00EC489C">
        <w:rPr>
          <w:color w:val="000000" w:themeColor="text1"/>
        </w:rPr>
        <w:t xml:space="preserve"> not </w:t>
      </w:r>
      <w:r w:rsidR="00930547" w:rsidRPr="00EC489C">
        <w:t>comminuted</w:t>
      </w:r>
      <w:r w:rsidR="002E1996">
        <w:t xml:space="preserve"> and/or packaged</w:t>
      </w:r>
      <w:r>
        <w:rPr>
          <w:color w:val="000000" w:themeColor="text1"/>
        </w:rPr>
        <w:t>?</w:t>
      </w:r>
    </w:p>
    <w:p w14:paraId="5190D11F" w14:textId="1CDE3035" w:rsidR="00C01904" w:rsidRPr="00512C95" w:rsidRDefault="00C01904" w:rsidP="00C01904">
      <w:pPr>
        <w:pStyle w:val="ListParagraph"/>
        <w:numPr>
          <w:ilvl w:val="0"/>
          <w:numId w:val="1"/>
        </w:numPr>
        <w:rPr>
          <w:rFonts w:ascii="Times New Roman" w:hAnsi="Times New Roman" w:cs="Times New Roman"/>
          <w:szCs w:val="24"/>
        </w:rPr>
      </w:pPr>
      <w:bookmarkStart w:id="9" w:name="_Hlk175745630"/>
      <w:r w:rsidRPr="00512C95">
        <w:rPr>
          <w:rFonts w:ascii="Times New Roman" w:hAnsi="Times New Roman" w:cs="Times New Roman"/>
          <w:szCs w:val="24"/>
        </w:rPr>
        <w:t>Yes (</w:t>
      </w:r>
      <w:r>
        <w:rPr>
          <w:rFonts w:ascii="Times New Roman" w:hAnsi="Times New Roman" w:cs="Times New Roman"/>
          <w:szCs w:val="24"/>
        </w:rPr>
        <w:t>proceed to Q5</w:t>
      </w:r>
      <w:r w:rsidRPr="00512C95">
        <w:rPr>
          <w:rFonts w:ascii="Times New Roman" w:hAnsi="Times New Roman" w:cs="Times New Roman"/>
          <w:szCs w:val="24"/>
        </w:rPr>
        <w:t>)</w:t>
      </w:r>
    </w:p>
    <w:p w14:paraId="3BB37E75" w14:textId="77777777" w:rsidR="00C01904" w:rsidRDefault="00C01904" w:rsidP="00C01904">
      <w:pPr>
        <w:pStyle w:val="ListParagraph"/>
        <w:numPr>
          <w:ilvl w:val="0"/>
          <w:numId w:val="1"/>
        </w:numPr>
        <w:spacing w:after="120"/>
        <w:contextualSpacing w:val="0"/>
        <w:rPr>
          <w:rFonts w:ascii="Times New Roman" w:hAnsi="Times New Roman" w:cs="Times New Roman"/>
          <w:szCs w:val="24"/>
        </w:rPr>
      </w:pPr>
      <w:r w:rsidRPr="00512C95">
        <w:rPr>
          <w:rFonts w:ascii="Times New Roman" w:hAnsi="Times New Roman" w:cs="Times New Roman"/>
          <w:szCs w:val="24"/>
        </w:rPr>
        <w:t>No</w:t>
      </w:r>
      <w:r>
        <w:rPr>
          <w:rFonts w:ascii="Times New Roman" w:hAnsi="Times New Roman" w:cs="Times New Roman"/>
          <w:szCs w:val="24"/>
        </w:rPr>
        <w:t xml:space="preserve"> (exclude with no further review)</w:t>
      </w:r>
    </w:p>
    <w:bookmarkEnd w:id="9"/>
    <w:p w14:paraId="75B21167" w14:textId="45CBD783" w:rsidR="002A4424" w:rsidRDefault="00967F7A" w:rsidP="00035FBF">
      <w:pPr>
        <w:rPr>
          <w:color w:val="000000" w:themeColor="text1"/>
        </w:rPr>
      </w:pPr>
      <w:r>
        <w:rPr>
          <w:color w:val="000000" w:themeColor="text1"/>
        </w:rPr>
        <w:tab/>
      </w:r>
      <w:r w:rsidR="00C01904" w:rsidRPr="00C01904">
        <w:rPr>
          <w:b/>
          <w:bCs/>
          <w:color w:val="000000" w:themeColor="text1"/>
        </w:rPr>
        <w:t>Q5.</w:t>
      </w:r>
      <w:r w:rsidR="00C01904">
        <w:rPr>
          <w:color w:val="000000" w:themeColor="text1"/>
        </w:rPr>
        <w:t xml:space="preserve"> Is the outcome concentration</w:t>
      </w:r>
      <w:r w:rsidR="002E1996">
        <w:rPr>
          <w:color w:val="000000" w:themeColor="text1"/>
        </w:rPr>
        <w:t xml:space="preserve"> </w:t>
      </w:r>
      <w:r w:rsidR="00FB6F5E">
        <w:rPr>
          <w:color w:val="000000" w:themeColor="text1"/>
        </w:rPr>
        <w:t xml:space="preserve">of </w:t>
      </w:r>
      <w:r w:rsidR="00C01904">
        <w:rPr>
          <w:color w:val="000000" w:themeColor="text1"/>
        </w:rPr>
        <w:t xml:space="preserve"> </w:t>
      </w:r>
      <w:r w:rsidR="00C01904" w:rsidRPr="00C01904">
        <w:rPr>
          <w:i/>
          <w:iCs/>
          <w:color w:val="000000" w:themeColor="text1"/>
        </w:rPr>
        <w:t>Salmonella</w:t>
      </w:r>
      <w:r w:rsidR="00C01904">
        <w:rPr>
          <w:color w:val="000000" w:themeColor="text1"/>
        </w:rPr>
        <w:t>?</w:t>
      </w:r>
    </w:p>
    <w:p w14:paraId="78C82E39" w14:textId="7A75D2D4" w:rsidR="00C01904" w:rsidRPr="00512C95" w:rsidRDefault="00C01904" w:rsidP="00C01904">
      <w:pPr>
        <w:pStyle w:val="ListParagraph"/>
        <w:numPr>
          <w:ilvl w:val="0"/>
          <w:numId w:val="1"/>
        </w:numPr>
        <w:rPr>
          <w:rFonts w:ascii="Times New Roman" w:hAnsi="Times New Roman" w:cs="Times New Roman"/>
          <w:szCs w:val="24"/>
        </w:rPr>
      </w:pPr>
      <w:bookmarkStart w:id="10" w:name="_Hlk175745771"/>
      <w:r w:rsidRPr="00512C95">
        <w:rPr>
          <w:rFonts w:ascii="Times New Roman" w:hAnsi="Times New Roman" w:cs="Times New Roman"/>
          <w:szCs w:val="24"/>
        </w:rPr>
        <w:t>Yes (</w:t>
      </w:r>
      <w:r>
        <w:rPr>
          <w:rFonts w:ascii="Times New Roman" w:hAnsi="Times New Roman" w:cs="Times New Roman"/>
          <w:szCs w:val="24"/>
        </w:rPr>
        <w:t>proceed to Q6</w:t>
      </w:r>
      <w:r w:rsidRPr="00512C95">
        <w:rPr>
          <w:rFonts w:ascii="Times New Roman" w:hAnsi="Times New Roman" w:cs="Times New Roman"/>
          <w:szCs w:val="24"/>
        </w:rPr>
        <w:t>)</w:t>
      </w:r>
    </w:p>
    <w:p w14:paraId="32A227A9" w14:textId="77777777" w:rsidR="00C01904" w:rsidRDefault="00C01904" w:rsidP="00C01904">
      <w:pPr>
        <w:pStyle w:val="ListParagraph"/>
        <w:numPr>
          <w:ilvl w:val="0"/>
          <w:numId w:val="1"/>
        </w:numPr>
        <w:spacing w:after="120"/>
        <w:contextualSpacing w:val="0"/>
        <w:rPr>
          <w:rFonts w:ascii="Times New Roman" w:hAnsi="Times New Roman" w:cs="Times New Roman"/>
          <w:szCs w:val="24"/>
        </w:rPr>
      </w:pPr>
      <w:r w:rsidRPr="00512C95">
        <w:rPr>
          <w:rFonts w:ascii="Times New Roman" w:hAnsi="Times New Roman" w:cs="Times New Roman"/>
          <w:szCs w:val="24"/>
        </w:rPr>
        <w:t>No</w:t>
      </w:r>
      <w:r>
        <w:rPr>
          <w:rFonts w:ascii="Times New Roman" w:hAnsi="Times New Roman" w:cs="Times New Roman"/>
          <w:szCs w:val="24"/>
        </w:rPr>
        <w:t xml:space="preserve"> (exclude with no further review)</w:t>
      </w:r>
    </w:p>
    <w:bookmarkEnd w:id="10"/>
    <w:p w14:paraId="3416E77C" w14:textId="3542475A" w:rsidR="00C01904" w:rsidRDefault="00C01904" w:rsidP="00035FBF">
      <w:pPr>
        <w:rPr>
          <w:color w:val="000000" w:themeColor="text1"/>
        </w:rPr>
      </w:pPr>
      <w:r>
        <w:rPr>
          <w:color w:val="000000" w:themeColor="text1"/>
        </w:rPr>
        <w:tab/>
      </w:r>
      <w:r w:rsidRPr="00C01904">
        <w:rPr>
          <w:b/>
          <w:bCs/>
          <w:color w:val="000000" w:themeColor="text1"/>
        </w:rPr>
        <w:t>Q6.</w:t>
      </w:r>
      <w:r>
        <w:rPr>
          <w:color w:val="000000" w:themeColor="text1"/>
        </w:rPr>
        <w:t xml:space="preserve"> </w:t>
      </w:r>
      <w:r w:rsidRPr="00EC489C">
        <w:rPr>
          <w:color w:val="000000" w:themeColor="text1"/>
        </w:rPr>
        <w:t>Is this a study of a</w:t>
      </w:r>
      <w:r w:rsidR="004C5FFB" w:rsidRPr="00EC489C">
        <w:rPr>
          <w:color w:val="000000" w:themeColor="text1"/>
        </w:rPr>
        <w:t xml:space="preserve"> relevant</w:t>
      </w:r>
      <w:r w:rsidRPr="00EC489C">
        <w:rPr>
          <w:color w:val="000000" w:themeColor="text1"/>
        </w:rPr>
        <w:t xml:space="preserve"> intervention </w:t>
      </w:r>
      <w:r w:rsidR="004C5FFB" w:rsidRPr="00EC489C">
        <w:rPr>
          <w:color w:val="000000" w:themeColor="text1"/>
        </w:rPr>
        <w:t>(not cloacal wash</w:t>
      </w:r>
      <w:r w:rsidR="00A233E0">
        <w:rPr>
          <w:color w:val="000000" w:themeColor="text1"/>
        </w:rPr>
        <w:t>, not chill, not post-chill</w:t>
      </w:r>
      <w:r w:rsidR="004C5FFB" w:rsidRPr="00EC489C">
        <w:rPr>
          <w:color w:val="000000" w:themeColor="text1"/>
        </w:rPr>
        <w:t xml:space="preserve">) </w:t>
      </w:r>
      <w:r w:rsidR="00FB6F5E" w:rsidRPr="00EC489C">
        <w:rPr>
          <w:color w:val="000000" w:themeColor="text1"/>
        </w:rPr>
        <w:t xml:space="preserve">permitted by </w:t>
      </w:r>
      <w:r w:rsidR="00FB6F5E" w:rsidRPr="008B72D3">
        <w:rPr>
          <w:color w:val="000000" w:themeColor="text1"/>
        </w:rPr>
        <w:t xml:space="preserve">the USDA’s Food Safety and Inspection Service for use </w:t>
      </w:r>
      <w:r w:rsidRPr="00EC489C">
        <w:rPr>
          <w:color w:val="000000" w:themeColor="text1"/>
        </w:rPr>
        <w:t xml:space="preserve">against </w:t>
      </w:r>
      <w:r w:rsidRPr="00EC489C">
        <w:rPr>
          <w:i/>
          <w:iCs/>
          <w:color w:val="000000" w:themeColor="text1"/>
        </w:rPr>
        <w:t>Salmonella</w:t>
      </w:r>
      <w:r w:rsidRPr="00EC489C">
        <w:rPr>
          <w:color w:val="000000" w:themeColor="text1"/>
        </w:rPr>
        <w:t xml:space="preserve"> applied during processing (i.e., not on the farm, </w:t>
      </w:r>
      <w:r w:rsidR="008B72D3" w:rsidRPr="00EC489C">
        <w:rPr>
          <w:color w:val="000000" w:themeColor="text1"/>
        </w:rPr>
        <w:t xml:space="preserve">during or </w:t>
      </w:r>
      <w:r w:rsidRPr="00EC489C">
        <w:rPr>
          <w:color w:val="000000" w:themeColor="text1"/>
        </w:rPr>
        <w:t xml:space="preserve">after packaging, during shipping, at retail or </w:t>
      </w:r>
      <w:r w:rsidR="004C5FFB" w:rsidRPr="00EC489C">
        <w:rPr>
          <w:color w:val="000000" w:themeColor="text1"/>
        </w:rPr>
        <w:t>during kitchen preparation</w:t>
      </w:r>
      <w:r w:rsidRPr="00EC489C">
        <w:rPr>
          <w:color w:val="000000" w:themeColor="text1"/>
        </w:rPr>
        <w:t>)?</w:t>
      </w:r>
    </w:p>
    <w:p w14:paraId="39149717" w14:textId="241FD155" w:rsidR="00C01904" w:rsidRPr="00512C95" w:rsidRDefault="00C01904" w:rsidP="00C01904">
      <w:pPr>
        <w:pStyle w:val="ListParagraph"/>
        <w:numPr>
          <w:ilvl w:val="0"/>
          <w:numId w:val="1"/>
        </w:numPr>
        <w:rPr>
          <w:rFonts w:ascii="Times New Roman" w:hAnsi="Times New Roman" w:cs="Times New Roman"/>
          <w:szCs w:val="24"/>
        </w:rPr>
      </w:pPr>
      <w:r w:rsidRPr="00512C95">
        <w:rPr>
          <w:rFonts w:ascii="Times New Roman" w:hAnsi="Times New Roman" w:cs="Times New Roman"/>
          <w:szCs w:val="24"/>
        </w:rPr>
        <w:t>Yes (</w:t>
      </w:r>
      <w:r>
        <w:rPr>
          <w:rFonts w:ascii="Times New Roman" w:hAnsi="Times New Roman" w:cs="Times New Roman"/>
          <w:szCs w:val="24"/>
        </w:rPr>
        <w:t>proceed to data charting</w:t>
      </w:r>
      <w:r w:rsidRPr="00512C95">
        <w:rPr>
          <w:rFonts w:ascii="Times New Roman" w:hAnsi="Times New Roman" w:cs="Times New Roman"/>
          <w:szCs w:val="24"/>
        </w:rPr>
        <w:t>)</w:t>
      </w:r>
    </w:p>
    <w:p w14:paraId="65F5161C" w14:textId="77777777" w:rsidR="00C01904" w:rsidRDefault="00C01904" w:rsidP="00C01904">
      <w:pPr>
        <w:pStyle w:val="ListParagraph"/>
        <w:numPr>
          <w:ilvl w:val="0"/>
          <w:numId w:val="1"/>
        </w:numPr>
        <w:spacing w:after="120"/>
        <w:contextualSpacing w:val="0"/>
        <w:rPr>
          <w:rFonts w:ascii="Times New Roman" w:hAnsi="Times New Roman" w:cs="Times New Roman"/>
          <w:szCs w:val="24"/>
        </w:rPr>
      </w:pPr>
      <w:r w:rsidRPr="00512C95">
        <w:rPr>
          <w:rFonts w:ascii="Times New Roman" w:hAnsi="Times New Roman" w:cs="Times New Roman"/>
          <w:szCs w:val="24"/>
        </w:rPr>
        <w:t>No</w:t>
      </w:r>
      <w:r>
        <w:rPr>
          <w:rFonts w:ascii="Times New Roman" w:hAnsi="Times New Roman" w:cs="Times New Roman"/>
          <w:szCs w:val="24"/>
        </w:rPr>
        <w:t xml:space="preserve"> (exclude with no further review)</w:t>
      </w:r>
    </w:p>
    <w:p w14:paraId="79F1C82D" w14:textId="77777777" w:rsidR="00C01904" w:rsidRPr="004C5FFB" w:rsidRDefault="00C01904" w:rsidP="00035FBF"/>
    <w:p w14:paraId="4353C4C6" w14:textId="4A987C13" w:rsidR="00FF24A2" w:rsidRPr="004C5FFB" w:rsidRDefault="004C5FFB" w:rsidP="00035FBF">
      <w:r w:rsidRPr="004C5FFB">
        <w:t>Citation Chaser will be applied to all of the records passing Level 2 screening. Citation Chaser will also be applied</w:t>
      </w:r>
      <w:r w:rsidR="00047408" w:rsidRPr="004C5FFB">
        <w:t xml:space="preserve"> </w:t>
      </w:r>
      <w:r w:rsidRPr="004C5FFB">
        <w:t>to</w:t>
      </w:r>
      <w:r w:rsidR="00047408" w:rsidRPr="004C5FFB">
        <w:t xml:space="preserve"> the set of studies </w:t>
      </w:r>
      <w:r w:rsidRPr="004C5FFB">
        <w:t xml:space="preserve">identified by Citation Chaser that are found </w:t>
      </w:r>
      <w:r w:rsidR="00047408" w:rsidRPr="004C5FFB">
        <w:t xml:space="preserve">to be relevant. For the last </w:t>
      </w:r>
      <w:r w:rsidRPr="004C5FFB">
        <w:t>set</w:t>
      </w:r>
      <w:r w:rsidR="00047408" w:rsidRPr="004C5FFB">
        <w:t xml:space="preserve"> of citation chaser papers, we will use AI to </w:t>
      </w:r>
      <w:r w:rsidRPr="004C5FFB">
        <w:t>screen</w:t>
      </w:r>
      <w:r w:rsidR="00047408" w:rsidRPr="004C5FFB">
        <w:t xml:space="preserve"> out irrelevant studies and retain the “possible relevant papers” for</w:t>
      </w:r>
      <w:r w:rsidRPr="004C5FFB">
        <w:t xml:space="preserve"> </w:t>
      </w:r>
      <w:r w:rsidR="00047408" w:rsidRPr="004C5FFB">
        <w:t>review</w:t>
      </w:r>
      <w:r w:rsidRPr="004C5FFB">
        <w:t xml:space="preserve"> by AMOC and SCT.</w:t>
      </w:r>
      <w:r w:rsidR="00047408" w:rsidRPr="004C5FFB">
        <w:t xml:space="preserve"> After completing this entire process, we will then use AI error detection to determine if citations that should have been considered have been inadvertently missed. This work will be conducted in DistillerSR</w:t>
      </w:r>
      <w:r w:rsidRPr="004C5FFB">
        <w:t xml:space="preserve">. </w:t>
      </w:r>
      <w:r w:rsidR="002A4424" w:rsidRPr="004C5FFB">
        <w:t>As n</w:t>
      </w:r>
      <w:r w:rsidR="00FF24A2" w:rsidRPr="004C5FFB">
        <w:t xml:space="preserve">o standards are available for using artificial intelligence in scoping reviews, we will use current best practices (O’Connor et al., 2018; O’Connor et al., 2019; O’Connor et al., 2020). </w:t>
      </w:r>
    </w:p>
    <w:p w14:paraId="047CDB2B" w14:textId="77777777" w:rsidR="00035FBF" w:rsidRDefault="00035FBF" w:rsidP="00035FBF">
      <w:pPr>
        <w:rPr>
          <w:color w:val="ED0000"/>
        </w:rPr>
      </w:pPr>
    </w:p>
    <w:p w14:paraId="5EB611B9" w14:textId="643733CC" w:rsidR="00035FBF" w:rsidRDefault="00035FBF" w:rsidP="00035FBF">
      <w:pPr>
        <w:pStyle w:val="Heading3"/>
      </w:pPr>
      <w:r>
        <w:t>2.4.3. Data charting process</w:t>
      </w:r>
    </w:p>
    <w:p w14:paraId="1FF99C10" w14:textId="2D41ACC5" w:rsidR="00035FBF" w:rsidRPr="00215E96" w:rsidRDefault="00415220" w:rsidP="00215E96">
      <w:pPr>
        <w:rPr>
          <w:color w:val="000000" w:themeColor="text1"/>
        </w:rPr>
      </w:pPr>
      <w:r w:rsidRPr="00215E96">
        <w:rPr>
          <w:color w:val="000000" w:themeColor="text1"/>
        </w:rPr>
        <w:tab/>
      </w:r>
      <w:r w:rsidR="00215E96" w:rsidRPr="00215E96">
        <w:rPr>
          <w:color w:val="000000" w:themeColor="text1"/>
        </w:rPr>
        <w:t>The data charting form will be created in DistillerSR® and will undergo pretesting on three relevant references by both reviewers (AMOC and SCT). Subsequently, both reviewers will chart data from each relevant study, working independently and resolving any conflicts via discussion. Authors of the studies will not be contacted to confirm data or to provide additional information. Missing data will be scored as “Not reported.”</w:t>
      </w:r>
    </w:p>
    <w:p w14:paraId="72197B29" w14:textId="77777777" w:rsidR="00006325" w:rsidRPr="00215E96" w:rsidRDefault="00006325" w:rsidP="00035FBF">
      <w:pPr>
        <w:rPr>
          <w:color w:val="000000" w:themeColor="text1"/>
        </w:rPr>
      </w:pPr>
    </w:p>
    <w:p w14:paraId="73C68FA7" w14:textId="1E2DA0A7" w:rsidR="00006325" w:rsidRDefault="00006325" w:rsidP="00A04147">
      <w:pPr>
        <w:pStyle w:val="Heading2"/>
      </w:pPr>
      <w:r>
        <w:t>2.5. Data items</w:t>
      </w:r>
    </w:p>
    <w:p w14:paraId="43DD866C" w14:textId="5B067B86" w:rsidR="00BC10CA" w:rsidRPr="00F0741E" w:rsidRDefault="00BC10CA" w:rsidP="00BC10CA">
      <w:pPr>
        <w:rPr>
          <w:rFonts w:cs="Times New Roman"/>
          <w:color w:val="000000" w:themeColor="text1"/>
        </w:rPr>
      </w:pPr>
      <w:r w:rsidRPr="007B5E07">
        <w:rPr>
          <w:color w:val="000000" w:themeColor="text1"/>
        </w:rPr>
        <w:tab/>
      </w:r>
      <w:r w:rsidRPr="00F0741E">
        <w:rPr>
          <w:rFonts w:cs="Times New Roman"/>
          <w:color w:val="000000" w:themeColor="text1"/>
        </w:rPr>
        <w:t>We will extract the following variables</w:t>
      </w:r>
      <w:r w:rsidR="007B5E07" w:rsidRPr="00F0741E">
        <w:rPr>
          <w:rFonts w:cs="Times New Roman"/>
          <w:color w:val="000000" w:themeColor="text1"/>
        </w:rPr>
        <w:t xml:space="preserve"> from each relevant study</w:t>
      </w:r>
      <w:r w:rsidR="00F90B27">
        <w:rPr>
          <w:rFonts w:cs="Times New Roman"/>
          <w:color w:val="000000" w:themeColor="text1"/>
        </w:rPr>
        <w:t xml:space="preserve"> (headings indicate where they will appear on the Evidence Gap Map)</w:t>
      </w:r>
      <w:r w:rsidRPr="00F0741E">
        <w:rPr>
          <w:rFonts w:cs="Times New Roman"/>
          <w:color w:val="000000" w:themeColor="text1"/>
        </w:rPr>
        <w:t>:</w:t>
      </w:r>
    </w:p>
    <w:p w14:paraId="09BE99D3" w14:textId="76BA3306" w:rsidR="00720622" w:rsidRPr="00720622" w:rsidRDefault="00720622" w:rsidP="00720622">
      <w:pPr>
        <w:rPr>
          <w:rFonts w:cs="Times New Roman"/>
          <w:color w:val="000000" w:themeColor="text1"/>
        </w:rPr>
      </w:pPr>
      <w:r w:rsidRPr="00720622">
        <w:rPr>
          <w:rFonts w:cs="Times New Roman"/>
          <w:color w:val="000000" w:themeColor="text1"/>
        </w:rPr>
        <w:t>Columns</w:t>
      </w:r>
    </w:p>
    <w:p w14:paraId="724B62A0" w14:textId="12B4EE19" w:rsidR="00BC10CA" w:rsidRPr="00F0741E" w:rsidRDefault="00BC10CA" w:rsidP="00F0741E">
      <w:pPr>
        <w:pStyle w:val="ListParagraph"/>
        <w:numPr>
          <w:ilvl w:val="0"/>
          <w:numId w:val="2"/>
        </w:numPr>
        <w:rPr>
          <w:rFonts w:ascii="Times New Roman" w:hAnsi="Times New Roman" w:cs="Times New Roman"/>
          <w:color w:val="000000" w:themeColor="text1"/>
        </w:rPr>
      </w:pPr>
      <w:r w:rsidRPr="00F0741E">
        <w:rPr>
          <w:rFonts w:ascii="Times New Roman" w:hAnsi="Times New Roman" w:cs="Times New Roman"/>
          <w:color w:val="000000" w:themeColor="text1"/>
        </w:rPr>
        <w:t>Country in which the study was conducted</w:t>
      </w:r>
    </w:p>
    <w:p w14:paraId="05971D7E" w14:textId="421EECE7" w:rsidR="00720622" w:rsidRDefault="00BC10CA" w:rsidP="00720622">
      <w:pPr>
        <w:pStyle w:val="ListParagraph"/>
        <w:numPr>
          <w:ilvl w:val="0"/>
          <w:numId w:val="2"/>
        </w:numPr>
        <w:rPr>
          <w:rFonts w:ascii="Times New Roman" w:hAnsi="Times New Roman" w:cs="Times New Roman"/>
          <w:color w:val="000000" w:themeColor="text1"/>
        </w:rPr>
      </w:pPr>
      <w:r w:rsidRPr="00F0741E">
        <w:rPr>
          <w:rFonts w:ascii="Times New Roman" w:hAnsi="Times New Roman" w:cs="Times New Roman"/>
          <w:color w:val="000000" w:themeColor="text1"/>
        </w:rPr>
        <w:t xml:space="preserve">Setting of study (commercial plant, </w:t>
      </w:r>
      <w:r w:rsidR="00720622">
        <w:rPr>
          <w:rFonts w:ascii="Times New Roman" w:hAnsi="Times New Roman" w:cs="Times New Roman"/>
          <w:color w:val="000000" w:themeColor="text1"/>
        </w:rPr>
        <w:t xml:space="preserve">pilot plant, </w:t>
      </w:r>
      <w:r w:rsidRPr="00F0741E">
        <w:rPr>
          <w:rFonts w:ascii="Times New Roman" w:hAnsi="Times New Roman" w:cs="Times New Roman"/>
          <w:color w:val="000000" w:themeColor="text1"/>
        </w:rPr>
        <w:t>laboratory, etc.)</w:t>
      </w:r>
    </w:p>
    <w:p w14:paraId="62474B52" w14:textId="594AB7FB" w:rsidR="00BC10CA" w:rsidRDefault="00F0741E" w:rsidP="00720622">
      <w:pPr>
        <w:pStyle w:val="ListParagraph"/>
        <w:numPr>
          <w:ilvl w:val="0"/>
          <w:numId w:val="2"/>
        </w:numPr>
        <w:rPr>
          <w:rFonts w:ascii="Times New Roman" w:hAnsi="Times New Roman" w:cs="Times New Roman"/>
          <w:color w:val="000000" w:themeColor="text1"/>
        </w:rPr>
      </w:pPr>
      <w:r>
        <w:rPr>
          <w:rFonts w:ascii="Times New Roman" w:hAnsi="Times New Roman" w:cs="Times New Roman"/>
          <w:color w:val="000000" w:themeColor="text1"/>
        </w:rPr>
        <w:t>Study design</w:t>
      </w:r>
    </w:p>
    <w:p w14:paraId="3C4D0B1D" w14:textId="7E0C9A21" w:rsidR="00720622" w:rsidRPr="00720622" w:rsidRDefault="00720622" w:rsidP="00720622">
      <w:pPr>
        <w:rPr>
          <w:rFonts w:cs="Times New Roman"/>
          <w:color w:val="000000" w:themeColor="text1"/>
        </w:rPr>
      </w:pPr>
      <w:r>
        <w:rPr>
          <w:rFonts w:cs="Times New Roman"/>
          <w:color w:val="000000" w:themeColor="text1"/>
        </w:rPr>
        <w:t>Bubbles</w:t>
      </w:r>
    </w:p>
    <w:p w14:paraId="68AD3362" w14:textId="3773401F" w:rsidR="00BC10CA" w:rsidRDefault="00720622" w:rsidP="00720622">
      <w:pPr>
        <w:pStyle w:val="ListParagraph"/>
        <w:numPr>
          <w:ilvl w:val="0"/>
          <w:numId w:val="2"/>
        </w:numPr>
        <w:rPr>
          <w:rFonts w:ascii="Times New Roman" w:hAnsi="Times New Roman" w:cs="Times New Roman"/>
          <w:color w:val="000000" w:themeColor="text1"/>
        </w:rPr>
      </w:pPr>
      <w:r>
        <w:rPr>
          <w:rFonts w:ascii="Times New Roman" w:hAnsi="Times New Roman" w:cs="Times New Roman"/>
          <w:color w:val="000000" w:themeColor="text1"/>
        </w:rPr>
        <w:t>T</w:t>
      </w:r>
      <w:r w:rsidRPr="00F0741E">
        <w:rPr>
          <w:rFonts w:ascii="Times New Roman" w:hAnsi="Times New Roman" w:cs="Times New Roman"/>
          <w:color w:val="000000" w:themeColor="text1"/>
        </w:rPr>
        <w:t>ype of poultry examined (chicken, turkey)</w:t>
      </w:r>
    </w:p>
    <w:p w14:paraId="76F20C79" w14:textId="5B6FB5CF" w:rsidR="00720622" w:rsidRPr="00720622" w:rsidRDefault="0098401B" w:rsidP="00720622">
      <w:pPr>
        <w:pStyle w:val="ListParagraph"/>
        <w:numPr>
          <w:ilvl w:val="0"/>
          <w:numId w:val="2"/>
        </w:numPr>
        <w:rPr>
          <w:rFonts w:ascii="Times New Roman" w:hAnsi="Times New Roman" w:cs="Times New Roman"/>
          <w:color w:val="000000" w:themeColor="text1"/>
        </w:rPr>
      </w:pPr>
      <w:r>
        <w:rPr>
          <w:rFonts w:ascii="Times New Roman" w:hAnsi="Times New Roman" w:cs="Times New Roman"/>
          <w:color w:val="000000" w:themeColor="text1"/>
        </w:rPr>
        <w:t>Whether the intervention was applied to the whole bird or to parts of the bird (breasts, thighs, etc.)</w:t>
      </w:r>
    </w:p>
    <w:p w14:paraId="659319DA" w14:textId="77777777" w:rsidR="00720622" w:rsidRDefault="00720622" w:rsidP="00006325">
      <w:pPr>
        <w:rPr>
          <w:color w:val="000000" w:themeColor="text1"/>
        </w:rPr>
      </w:pPr>
      <w:r>
        <w:rPr>
          <w:color w:val="000000" w:themeColor="text1"/>
        </w:rPr>
        <w:t>Rows</w:t>
      </w:r>
    </w:p>
    <w:p w14:paraId="203D044B" w14:textId="0E1F6DF8" w:rsidR="00720622" w:rsidRDefault="00A34312" w:rsidP="00720622">
      <w:pPr>
        <w:pStyle w:val="ListParagraph"/>
        <w:numPr>
          <w:ilvl w:val="0"/>
          <w:numId w:val="2"/>
        </w:numPr>
        <w:rPr>
          <w:rFonts w:ascii="Times New Roman" w:hAnsi="Times New Roman" w:cs="Times New Roman"/>
          <w:color w:val="000000" w:themeColor="text1"/>
        </w:rPr>
      </w:pPr>
      <w:r>
        <w:rPr>
          <w:rFonts w:ascii="Times New Roman" w:hAnsi="Times New Roman" w:cs="Times New Roman"/>
          <w:color w:val="000000" w:themeColor="text1"/>
        </w:rPr>
        <w:t xml:space="preserve">Stage of processing during which the </w:t>
      </w:r>
      <w:r w:rsidR="00720622">
        <w:rPr>
          <w:rFonts w:ascii="Times New Roman" w:hAnsi="Times New Roman" w:cs="Times New Roman"/>
          <w:color w:val="000000" w:themeColor="text1"/>
        </w:rPr>
        <w:t>intervention</w:t>
      </w:r>
      <w:r>
        <w:rPr>
          <w:rFonts w:ascii="Times New Roman" w:hAnsi="Times New Roman" w:cs="Times New Roman"/>
          <w:color w:val="000000" w:themeColor="text1"/>
        </w:rPr>
        <w:t xml:space="preserve"> was applied</w:t>
      </w:r>
      <w:r w:rsidR="0072062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(e.g., </w:t>
      </w:r>
      <w:r w:rsidR="00720622">
        <w:rPr>
          <w:rFonts w:ascii="Times New Roman" w:hAnsi="Times New Roman" w:cs="Times New Roman"/>
          <w:color w:val="000000" w:themeColor="text1"/>
        </w:rPr>
        <w:t>scald</w:t>
      </w:r>
      <w:r>
        <w:rPr>
          <w:rFonts w:ascii="Times New Roman" w:hAnsi="Times New Roman" w:cs="Times New Roman"/>
          <w:color w:val="000000" w:themeColor="text1"/>
        </w:rPr>
        <w:t>ing</w:t>
      </w:r>
      <w:r w:rsidR="00720622">
        <w:rPr>
          <w:rFonts w:ascii="Times New Roman" w:hAnsi="Times New Roman" w:cs="Times New Roman"/>
          <w:color w:val="000000" w:themeColor="text1"/>
        </w:rPr>
        <w:t>, defeather</w:t>
      </w:r>
      <w:r>
        <w:rPr>
          <w:rFonts w:ascii="Times New Roman" w:hAnsi="Times New Roman" w:cs="Times New Roman"/>
          <w:color w:val="000000" w:themeColor="text1"/>
        </w:rPr>
        <w:t>ing, etc.)</w:t>
      </w:r>
      <w:r w:rsidR="00720622">
        <w:rPr>
          <w:rFonts w:ascii="Times New Roman" w:hAnsi="Times New Roman" w:cs="Times New Roman"/>
          <w:color w:val="000000" w:themeColor="text1"/>
        </w:rPr>
        <w:t xml:space="preserve"> </w:t>
      </w:r>
    </w:p>
    <w:p w14:paraId="5EDC1706" w14:textId="2474F097" w:rsidR="00720622" w:rsidRDefault="000A1B4A" w:rsidP="00720622">
      <w:pPr>
        <w:pStyle w:val="ListParagraph"/>
        <w:numPr>
          <w:ilvl w:val="0"/>
          <w:numId w:val="2"/>
        </w:numPr>
        <w:rPr>
          <w:rFonts w:ascii="Times New Roman" w:hAnsi="Times New Roman" w:cs="Times New Roman"/>
          <w:color w:val="000000" w:themeColor="text1"/>
        </w:rPr>
      </w:pPr>
      <w:r>
        <w:rPr>
          <w:rFonts w:ascii="Times New Roman" w:hAnsi="Times New Roman" w:cs="Times New Roman"/>
          <w:color w:val="000000" w:themeColor="text1"/>
        </w:rPr>
        <w:t>Category</w:t>
      </w:r>
      <w:r w:rsidR="00720622" w:rsidRPr="00F0741E">
        <w:rPr>
          <w:rFonts w:ascii="Times New Roman" w:hAnsi="Times New Roman" w:cs="Times New Roman"/>
          <w:color w:val="000000" w:themeColor="text1"/>
        </w:rPr>
        <w:t xml:space="preserve"> of intervention(s) examined</w:t>
      </w:r>
      <w:r>
        <w:rPr>
          <w:rFonts w:ascii="Times New Roman" w:hAnsi="Times New Roman" w:cs="Times New Roman"/>
          <w:color w:val="000000" w:themeColor="text1"/>
        </w:rPr>
        <w:t>:</w:t>
      </w:r>
      <w:r w:rsidR="00720622">
        <w:rPr>
          <w:rFonts w:ascii="Times New Roman" w:hAnsi="Times New Roman" w:cs="Times New Roman"/>
          <w:color w:val="000000" w:themeColor="text1"/>
        </w:rPr>
        <w:t xml:space="preserve"> </w:t>
      </w:r>
      <w:r w:rsidR="00207EE2">
        <w:rPr>
          <w:rFonts w:ascii="Times New Roman" w:hAnsi="Times New Roman" w:cs="Times New Roman"/>
          <w:color w:val="000000" w:themeColor="text1"/>
        </w:rPr>
        <w:t xml:space="preserve">physical, chemical, </w:t>
      </w:r>
      <w:r w:rsidR="00101087">
        <w:rPr>
          <w:rFonts w:ascii="Times New Roman" w:hAnsi="Times New Roman" w:cs="Times New Roman"/>
          <w:color w:val="000000" w:themeColor="text1"/>
        </w:rPr>
        <w:t xml:space="preserve">biological (e.g., </w:t>
      </w:r>
      <w:r w:rsidR="003D62A7">
        <w:rPr>
          <w:rFonts w:ascii="Times New Roman" w:hAnsi="Times New Roman" w:cs="Times New Roman"/>
          <w:color w:val="000000" w:themeColor="text1"/>
        </w:rPr>
        <w:t>bacteriophages</w:t>
      </w:r>
      <w:r w:rsidR="00101087">
        <w:rPr>
          <w:rFonts w:ascii="Times New Roman" w:hAnsi="Times New Roman" w:cs="Times New Roman"/>
          <w:color w:val="000000" w:themeColor="text1"/>
        </w:rPr>
        <w:t>)</w:t>
      </w:r>
      <w:r w:rsidR="00742381">
        <w:rPr>
          <w:rFonts w:ascii="Times New Roman" w:hAnsi="Times New Roman" w:cs="Times New Roman"/>
          <w:color w:val="000000" w:themeColor="text1"/>
        </w:rPr>
        <w:t xml:space="preserve"> </w:t>
      </w:r>
    </w:p>
    <w:p w14:paraId="27F7AA33" w14:textId="77777777" w:rsidR="00720622" w:rsidRPr="00F0741E" w:rsidRDefault="00720622" w:rsidP="00EC489C">
      <w:pPr>
        <w:pStyle w:val="ListParagraph"/>
        <w:rPr>
          <w:rFonts w:ascii="Times New Roman" w:hAnsi="Times New Roman" w:cs="Times New Roman"/>
          <w:color w:val="000000" w:themeColor="text1"/>
        </w:rPr>
      </w:pPr>
    </w:p>
    <w:p w14:paraId="7F2C98F6" w14:textId="3C6C2E6D" w:rsidR="00BC10CA" w:rsidRPr="007B5E07" w:rsidRDefault="00415220" w:rsidP="00006325">
      <w:pPr>
        <w:rPr>
          <w:color w:val="000000" w:themeColor="text1"/>
        </w:rPr>
      </w:pPr>
      <w:r w:rsidRPr="007B5E07">
        <w:rPr>
          <w:color w:val="000000" w:themeColor="text1"/>
        </w:rPr>
        <w:tab/>
      </w:r>
    </w:p>
    <w:p w14:paraId="274A4AEE" w14:textId="2D0160E8" w:rsidR="00A04147" w:rsidRDefault="00607CC8" w:rsidP="00607CC8">
      <w:pPr>
        <w:pStyle w:val="Heading2"/>
      </w:pPr>
      <w:r>
        <w:t xml:space="preserve">2.6. </w:t>
      </w:r>
      <w:r w:rsidRPr="00607CC8">
        <w:t>Critical appraisal of individual sources of evidence</w:t>
      </w:r>
    </w:p>
    <w:p w14:paraId="67DCD77F" w14:textId="64A0E8C3" w:rsidR="00607CC8" w:rsidRDefault="00415220" w:rsidP="00607CC8">
      <w:pPr>
        <w:rPr>
          <w:color w:val="000000" w:themeColor="text1"/>
        </w:rPr>
      </w:pPr>
      <w:r>
        <w:rPr>
          <w:color w:val="000000" w:themeColor="text1"/>
        </w:rPr>
        <w:tab/>
      </w:r>
      <w:r w:rsidR="00AE3FE1" w:rsidRPr="00AE3FE1">
        <w:rPr>
          <w:color w:val="000000" w:themeColor="text1"/>
        </w:rPr>
        <w:t>This will not be done, as this is a scoping review.</w:t>
      </w:r>
    </w:p>
    <w:p w14:paraId="0C4CFA5C" w14:textId="77777777" w:rsidR="00AE3FE1" w:rsidRDefault="00AE3FE1" w:rsidP="00607CC8">
      <w:pPr>
        <w:rPr>
          <w:color w:val="000000" w:themeColor="text1"/>
        </w:rPr>
      </w:pPr>
    </w:p>
    <w:p w14:paraId="6777855C" w14:textId="6B9B4D91" w:rsidR="00AE3FE1" w:rsidRDefault="0046674A" w:rsidP="0046674A">
      <w:pPr>
        <w:pStyle w:val="Heading2"/>
      </w:pPr>
      <w:r>
        <w:t>2.7. Synthesis of results</w:t>
      </w:r>
    </w:p>
    <w:p w14:paraId="51418640" w14:textId="0A8B109E" w:rsidR="0046674A" w:rsidRPr="00856892" w:rsidRDefault="00415220" w:rsidP="0046674A">
      <w:r>
        <w:rPr>
          <w:color w:val="ED0000"/>
        </w:rPr>
        <w:tab/>
      </w:r>
      <w:r w:rsidR="006E26A6" w:rsidRPr="00856892">
        <w:t xml:space="preserve">Descriptive statistics </w:t>
      </w:r>
      <w:r w:rsidR="001A1753" w:rsidRPr="00856892">
        <w:t xml:space="preserve">and tables </w:t>
      </w:r>
      <w:r w:rsidR="006E26A6" w:rsidRPr="00856892">
        <w:t>will be used to summarize the data</w:t>
      </w:r>
      <w:r w:rsidR="0046674A" w:rsidRPr="00856892">
        <w:t>.</w:t>
      </w:r>
      <w:r w:rsidR="00146547" w:rsidRPr="00856892">
        <w:t xml:space="preserve"> </w:t>
      </w:r>
      <w:r w:rsidR="001A1753" w:rsidRPr="00856892">
        <w:t xml:space="preserve">In addition, </w:t>
      </w:r>
      <w:r w:rsidR="00EE50D2" w:rsidRPr="00856892">
        <w:t xml:space="preserve">charted data will be coded </w:t>
      </w:r>
      <w:r w:rsidR="00856892" w:rsidRPr="00856892">
        <w:t>using</w:t>
      </w:r>
      <w:r w:rsidR="00EE50D2" w:rsidRPr="00856892">
        <w:t xml:space="preserve"> EPPI-Reviewer version 4 (Thomas et al., 2023)</w:t>
      </w:r>
      <w:r w:rsidR="000E6EAA" w:rsidRPr="00856892">
        <w:t xml:space="preserve">, then </w:t>
      </w:r>
      <w:r w:rsidR="00EE50D2" w:rsidRPr="00856892">
        <w:t xml:space="preserve">exported to EPPI-Mapper </w:t>
      </w:r>
      <w:r w:rsidR="000E6EAA" w:rsidRPr="00856892">
        <w:t xml:space="preserve">(Digital Solution Foundry  and EPPI Centre, 2023) </w:t>
      </w:r>
      <w:r w:rsidR="00EE50D2" w:rsidRPr="00856892">
        <w:t>to create an Evidence Gap Map</w:t>
      </w:r>
      <w:r w:rsidR="00856892" w:rsidRPr="00856892">
        <w:t xml:space="preserve"> that</w:t>
      </w:r>
      <w:r w:rsidR="00661B19" w:rsidRPr="00856892">
        <w:t xml:space="preserve"> cross-tabulates the </w:t>
      </w:r>
      <w:r w:rsidR="00856892" w:rsidRPr="00856892">
        <w:t>data</w:t>
      </w:r>
      <w:r w:rsidR="00661B19" w:rsidRPr="00856892">
        <w:t xml:space="preserve"> available on the topic and gives easy access to the information. </w:t>
      </w:r>
      <w:bookmarkStart w:id="11" w:name="_Hlk175818411"/>
      <w:r w:rsidR="00856892" w:rsidRPr="00856892">
        <w:t>C</w:t>
      </w:r>
      <w:r w:rsidR="00661B19" w:rsidRPr="00856892">
        <w:t>ross-tabulation categories will be determined after a closer literature evaluation and consultation with the U.S. Poultry &amp; Egg Association stakeholders</w:t>
      </w:r>
      <w:bookmarkEnd w:id="11"/>
      <w:r w:rsidR="00661B19" w:rsidRPr="00856892">
        <w:t>.</w:t>
      </w:r>
      <w:r w:rsidR="00501177">
        <w:br/>
      </w:r>
    </w:p>
    <w:p w14:paraId="2BDE353F" w14:textId="77777777" w:rsidR="00415220" w:rsidRDefault="00415220" w:rsidP="005D2225">
      <w:pPr>
        <w:pStyle w:val="Heading1"/>
        <w:sectPr w:rsidR="00415220" w:rsidSect="005C6788">
          <w:pgSz w:w="12240" w:h="15840"/>
          <w:pgMar w:top="1440" w:right="1440" w:bottom="1440" w:left="1440" w:header="720" w:footer="720" w:gutter="0"/>
          <w:lnNumType w:countBy="1" w:restart="continuous"/>
          <w:cols w:space="720"/>
          <w:docGrid w:linePitch="360"/>
        </w:sectPr>
      </w:pPr>
    </w:p>
    <w:p w14:paraId="4A585C36" w14:textId="3ACF9E8E" w:rsidR="005D2225" w:rsidRDefault="005D2225" w:rsidP="005D2225">
      <w:pPr>
        <w:pStyle w:val="Heading1"/>
      </w:pPr>
      <w:r>
        <w:lastRenderedPageBreak/>
        <w:t>References</w:t>
      </w:r>
    </w:p>
    <w:p w14:paraId="0BCC80C9" w14:textId="77777777" w:rsidR="00662E28" w:rsidRDefault="00662E28" w:rsidP="005D2225"/>
    <w:p w14:paraId="7F463508" w14:textId="70737E7C" w:rsidR="002A71CB" w:rsidRDefault="002A71CB" w:rsidP="002A71CB">
      <w:bookmarkStart w:id="12" w:name="_Hlk175728249"/>
      <w:bookmarkStart w:id="13" w:name="_Hlk175664349"/>
      <w:r w:rsidRPr="002A71CB">
        <w:t xml:space="preserve">Al-Hilphy </w:t>
      </w:r>
      <w:bookmarkEnd w:id="12"/>
      <w:r w:rsidRPr="002A71CB">
        <w:t>AR, Al-Temimi AB, Al Rubaiy HHM, Anand U, Delgado-Pando G, Lakhssassi N. Ultrasound applications in poultry meat processing: A systematic review. J Food Sci. 2020 May;85(5):1386-1396. doi: 10.1111/1750-3841.15135.</w:t>
      </w:r>
    </w:p>
    <w:p w14:paraId="566521B8" w14:textId="77777777" w:rsidR="002A71CB" w:rsidRDefault="002A71CB" w:rsidP="002A71CB"/>
    <w:p w14:paraId="5760EC8A" w14:textId="77777777" w:rsidR="002A71CB" w:rsidRDefault="002A71CB" w:rsidP="002A71CB">
      <w:r w:rsidRPr="002A71CB">
        <w:t>Bucher O, Farrar AM, Totton SC, Wilkins W, Waddell LA, Wilhelm BJ, McEwen SA, Fazil A, Rajić A. A systematic review-meta-analysis of chilling interventions and a meta-regression of various processing interventions for Salmonella contamination of chicken. Prev Vet Med. 2012 Jan 1;103(1):1-15. doi: 10.1016/j.prevetmed.2011.09.017.</w:t>
      </w:r>
    </w:p>
    <w:p w14:paraId="450F025D" w14:textId="77777777" w:rsidR="000E6EAA" w:rsidRDefault="000E6EAA" w:rsidP="002A71CB"/>
    <w:p w14:paraId="12F312C6" w14:textId="66367479" w:rsidR="000E6EAA" w:rsidRDefault="000E6EAA" w:rsidP="002A71CB">
      <w:r w:rsidRPr="000E6EAA">
        <w:t>Digital Solution Foundry  and EPPI Centre. EPPI-Mapper. Version 2.2.4. EPPI Centre, UCL Social Research Institute, University College London. 2023 [cited 6 Dec 2023]. Available from: https://eppi.ioe.ac.uk/cms/Default.aspx?tabid=3790.</w:t>
      </w:r>
    </w:p>
    <w:p w14:paraId="1E1109DB" w14:textId="77777777" w:rsidR="00116EB9" w:rsidRDefault="00116EB9" w:rsidP="002A71CB"/>
    <w:p w14:paraId="1AD630B3" w14:textId="2BEF607F" w:rsidR="00116EB9" w:rsidRDefault="00116EB9" w:rsidP="002A71CB">
      <w:r w:rsidRPr="00116EB9">
        <w:t>Ford L, Buuck S, Eisenstein T, Cote A, McCormic ZD, Kremer-Caldwell S, Kissler B, Forstner M, Sorenson A, Wise ME, Smith K, Medus C, Griffin PM, Robyn M. Salmonella Outbreaks Associated with Not Ready-to-Eat Breaded, Stuffed Chicken Products - United States, 1998-2022. MMWR Morb Mortal Wkly Rep. 2023 May 5;72(18):484-487. doi: 10.15585/mmwr.mm7218a2.</w:t>
      </w:r>
      <w:r>
        <w:t xml:space="preserve"> </w:t>
      </w:r>
    </w:p>
    <w:p w14:paraId="132970EB" w14:textId="77777777" w:rsidR="002B16B3" w:rsidRDefault="002B16B3" w:rsidP="002A71CB"/>
    <w:p w14:paraId="50697F1D" w14:textId="3EFCC3DD" w:rsidR="002B16B3" w:rsidRPr="002A71CB" w:rsidRDefault="00B11445" w:rsidP="002A71CB">
      <w:r w:rsidRPr="00B11445">
        <w:t>Haddaway NR, Grainger MJ, Gray CT (2022). “citationchaser: An R package and Shiny app for forward and backward citations chasing in academic searching.” Zenodo. doi:10.5281/zenodo.4543513, https://github.com/nealhaddaway/citationchaser.</w:t>
      </w:r>
    </w:p>
    <w:p w14:paraId="0F31BB38" w14:textId="77777777" w:rsidR="002A71CB" w:rsidRDefault="002A71CB" w:rsidP="005D2225"/>
    <w:p w14:paraId="355FA01D" w14:textId="157D9E61" w:rsidR="00662E28" w:rsidRDefault="00662E28" w:rsidP="005D2225">
      <w:r w:rsidRPr="00662E28">
        <w:t>Interagency Food Safety Analytics Collaboration</w:t>
      </w:r>
      <w:bookmarkEnd w:id="13"/>
      <w:r w:rsidRPr="00662E28">
        <w:t>. Foodborne illness source attribution estimates for 2020 for Salmonella, Escherichia coli O157, and Listeria monocytogenes using multi-year outbreak surveillance data, United States. Atlanta, Georgia and Washington, District of Columbia: U.S. Department of Health and Human Services, CDC, FDA, USDA/FSIS. Available at: https://www.cdc.gov/ifsac/media/pdfs/P19-2020-report-TriAgency-508.pdf</w:t>
      </w:r>
    </w:p>
    <w:p w14:paraId="30496C25" w14:textId="77777777" w:rsidR="00662E28" w:rsidRDefault="00662E28" w:rsidP="005D2225"/>
    <w:p w14:paraId="1D6D690D" w14:textId="75C22DB0" w:rsidR="00F521CA" w:rsidRDefault="00F521CA" w:rsidP="005D2225">
      <w:r w:rsidRPr="00F521CA">
        <w:t>Kirk MD, Pires SM, Black RE, Caipo M, Crump JA, Devleesschauwer B, Döpfer D, Fazil A, Fischer-Walker CL, Hald T, Hall AJ, Keddy KH, Lake RJ, Lanata CF, Torgerson PR, Havelaar AH, Angulo FJ. World Health Organization Estimates of the Global and Regional Disease Burden of 22 Foodborne Bacterial, Protozoal, and Viral Diseases, 2010: A Data Synthesis. PLoS Med. 2015 Dec 3;12(12):e1001921. doi: 10.1371/journal.pmed.1001921. Erratum in: PLoS Med. 2015 Dec 23;12(12):e1001940. doi: 10.1371/journal.pmed.1001940.</w:t>
      </w:r>
    </w:p>
    <w:p w14:paraId="0197B3A6" w14:textId="77777777" w:rsidR="008D340B" w:rsidRDefault="008D340B" w:rsidP="005D2225"/>
    <w:p w14:paraId="21D42BFA" w14:textId="5CE37E26" w:rsidR="008D340B" w:rsidRDefault="008D340B" w:rsidP="005D2225">
      <w:r w:rsidRPr="008D340B">
        <w:t>Leone C, Xu X, Mishra A, Thippareddi H, Singh M. Interventions to reduce Salmonella and Campylobacter during chilling and post-chilling stages of poultry processing: a systematic review and meta-analysis. Poult Sci. 2024 Apr;103(4):103492. doi: 10.1016/j.psj.2024.103492.</w:t>
      </w:r>
    </w:p>
    <w:p w14:paraId="4FA4623D" w14:textId="77777777" w:rsidR="00A26117" w:rsidRDefault="00A26117" w:rsidP="005D2225"/>
    <w:p w14:paraId="3694E190" w14:textId="33F29135" w:rsidR="00A26117" w:rsidRDefault="00A26117" w:rsidP="005D2225">
      <w:r w:rsidRPr="00A26117">
        <w:t>Munn Z, Peters MDJ, Stern C, Tufanaru C, McArthur A, Aromataris E. Systematic review or scoping review? Guidance for authors when choosing between a systematic or scoping review approach. BMC Med Res Methodol. 2018; 18: 143. doi: 10.1186/s12874-018-0611-x.</w:t>
      </w:r>
    </w:p>
    <w:p w14:paraId="689B63E1" w14:textId="77777777" w:rsidR="00FF24A2" w:rsidRDefault="00FF24A2" w:rsidP="005D2225"/>
    <w:p w14:paraId="461810D0" w14:textId="096ED777" w:rsidR="00FF24A2" w:rsidRDefault="00FF24A2" w:rsidP="005D2225">
      <w:r w:rsidRPr="00FF24A2">
        <w:t>O'Connor AM, Tsafnat G, Gilbert SB, Thayer KA, Wolfe MS: Moving toward the automation of the systematic review process: a summary of discussions at the second meeting of International Collaboration for the Automation of Systematic Reviews (ICASR). Syst Rev 2018, 7(1):3.</w:t>
      </w:r>
    </w:p>
    <w:p w14:paraId="25527ED4" w14:textId="77777777" w:rsidR="00FF24A2" w:rsidRDefault="00FF24A2" w:rsidP="005D2225"/>
    <w:p w14:paraId="595CF086" w14:textId="0B4F65A5" w:rsidR="00FF24A2" w:rsidRDefault="00FF24A2" w:rsidP="005D2225">
      <w:r w:rsidRPr="00FF24A2">
        <w:t>O'Connor AM, Tsafnat G, Gilbert SB, Thayer KA, Shemilt I, Thomas J, Glasziou P, Wolfe MS: Still moving toward automation of the systematic review process: a summary of discussions at the third meeting of the International Collaboration for Automation of Systematic Reviews (ICASR). Syst Rev 2019, 8(1):57.</w:t>
      </w:r>
    </w:p>
    <w:p w14:paraId="76AAB22F" w14:textId="77777777" w:rsidR="00FF24A2" w:rsidRDefault="00FF24A2" w:rsidP="005D2225"/>
    <w:p w14:paraId="2C9544B9" w14:textId="17941FAE" w:rsidR="00FF24A2" w:rsidRDefault="00FF24A2" w:rsidP="005D2225">
      <w:r w:rsidRPr="00FF24A2">
        <w:t>O'Connor AM, Tsafnat G, Gilbert SB, Thayer KA, Wolfe MS: Moving toward the automation of the systematic review process: a summary of discussions at the second meeting of International Collaboration for the Automation of Systematic Reviews (ICASR). Syst Rev 2018, 7(1):3.</w:t>
      </w:r>
    </w:p>
    <w:p w14:paraId="4C50236B" w14:textId="77777777" w:rsidR="00F521CA" w:rsidRDefault="00F521CA" w:rsidP="005D2225"/>
    <w:p w14:paraId="3E1ED273" w14:textId="38C72E83" w:rsidR="00AA1F3D" w:rsidRDefault="00AA1F3D" w:rsidP="005D2225">
      <w:r w:rsidRPr="00AA1F3D">
        <w:t>Shamseer L, Moher D, Clarke M, Ghersi D, Liberati A, Petticrew M, Shekelle P, Stewart L, PRISMA-P Group. Preferred reporting items for systematic review and meta-analysis protocols (PRISMA-P) 2015: elaboration and explanation. BMJ. 2015 Jan 2;349(jan02 1):g7647.</w:t>
      </w:r>
    </w:p>
    <w:p w14:paraId="099CEFFD" w14:textId="77777777" w:rsidR="00EE50D2" w:rsidRDefault="00EE50D2" w:rsidP="005D2225"/>
    <w:p w14:paraId="145EB548" w14:textId="694E2D63" w:rsidR="00EE50D2" w:rsidRDefault="00EE50D2" w:rsidP="005D2225">
      <w:r w:rsidRPr="00EE50D2">
        <w:t>Thomas J, Graziosi  S, Brunton J, Ghouze, Z, O’Driscoll P, Bond M. et al. Version 4 [software]. EPPI-Reviewer: advanced software for systematic reviews, maps and evidence synthesis. EPPI Centre, UCL Social Research Institute, University College London. 2023 [cited 5 Dec 2023].  Available from: https://eppi.ioe.ac.uk/cms/Default.aspx?tabid=2914.</w:t>
      </w:r>
    </w:p>
    <w:p w14:paraId="20EE87C3" w14:textId="77777777" w:rsidR="00AA1F3D" w:rsidRDefault="00AA1F3D" w:rsidP="005D2225"/>
    <w:p w14:paraId="02EFD4B2" w14:textId="3F7C5C52" w:rsidR="00AA1F3D" w:rsidRDefault="00AA1F3D" w:rsidP="005D2225">
      <w:r w:rsidRPr="00AA1F3D">
        <w:t>Tricco AC, Lillie E, Zarin W, O'Brien KK, Colquhoun H, Levac D, et al. PRISMA Extension for Scoping Reviews (PRISMAScR): Checklist and Explanation. Ann Intern Med. 2018;169:467–473. doi: 10.7326/M18-0850.</w:t>
      </w:r>
    </w:p>
    <w:p w14:paraId="5094446D" w14:textId="77777777" w:rsidR="004338F5" w:rsidRDefault="004338F5" w:rsidP="005D2225"/>
    <w:p w14:paraId="2AFA6724" w14:textId="523BB1FF" w:rsidR="004338F5" w:rsidRPr="005D2225" w:rsidRDefault="004338F5" w:rsidP="005D2225">
      <w:r>
        <w:t xml:space="preserve">World Health Organization (WHO). 2018. </w:t>
      </w:r>
      <w:r w:rsidRPr="004338F5">
        <w:rPr>
          <w:i/>
          <w:iCs/>
        </w:rPr>
        <w:t>Salmonella</w:t>
      </w:r>
      <w:r w:rsidRPr="004338F5">
        <w:t xml:space="preserve"> (non-typhoidal)</w:t>
      </w:r>
      <w:r>
        <w:t xml:space="preserve">. Published 20 February 2018. Available at: </w:t>
      </w:r>
      <w:r w:rsidRPr="004338F5">
        <w:t>https://www.who.int/news-room/fact-sheets/detail/salmonella-(non-typhoidal)</w:t>
      </w:r>
      <w:r>
        <w:t>.</w:t>
      </w:r>
    </w:p>
    <w:sectPr w:rsidR="004338F5" w:rsidRPr="005D2225" w:rsidSect="005C6788">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tima">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81040"/>
    <w:multiLevelType w:val="hybridMultilevel"/>
    <w:tmpl w:val="342E2F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9AA3092"/>
    <w:multiLevelType w:val="hybridMultilevel"/>
    <w:tmpl w:val="115C6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9145643">
    <w:abstractNumId w:val="0"/>
  </w:num>
  <w:num w:numId="2" w16cid:durableId="783379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4E"/>
    <w:rsid w:val="000053CA"/>
    <w:rsid w:val="00006325"/>
    <w:rsid w:val="00013BD4"/>
    <w:rsid w:val="00035FBF"/>
    <w:rsid w:val="00047408"/>
    <w:rsid w:val="00060974"/>
    <w:rsid w:val="00063C82"/>
    <w:rsid w:val="00072235"/>
    <w:rsid w:val="00073A1E"/>
    <w:rsid w:val="00077D04"/>
    <w:rsid w:val="0008491F"/>
    <w:rsid w:val="000A1B4A"/>
    <w:rsid w:val="000B01E5"/>
    <w:rsid w:val="000B3ECB"/>
    <w:rsid w:val="000C2B67"/>
    <w:rsid w:val="000D3ED2"/>
    <w:rsid w:val="000E535D"/>
    <w:rsid w:val="000E6EAA"/>
    <w:rsid w:val="000F2575"/>
    <w:rsid w:val="000F5CF3"/>
    <w:rsid w:val="000F6017"/>
    <w:rsid w:val="00101087"/>
    <w:rsid w:val="001079F2"/>
    <w:rsid w:val="00115D53"/>
    <w:rsid w:val="00116EB9"/>
    <w:rsid w:val="00131327"/>
    <w:rsid w:val="00145684"/>
    <w:rsid w:val="00146547"/>
    <w:rsid w:val="001538A4"/>
    <w:rsid w:val="00155D00"/>
    <w:rsid w:val="00163005"/>
    <w:rsid w:val="0016798E"/>
    <w:rsid w:val="00172076"/>
    <w:rsid w:val="001728D3"/>
    <w:rsid w:val="00186512"/>
    <w:rsid w:val="001A1753"/>
    <w:rsid w:val="001B104C"/>
    <w:rsid w:val="001D5B22"/>
    <w:rsid w:val="00207695"/>
    <w:rsid w:val="00207EE2"/>
    <w:rsid w:val="002116C1"/>
    <w:rsid w:val="00215E96"/>
    <w:rsid w:val="00225627"/>
    <w:rsid w:val="00232360"/>
    <w:rsid w:val="00233AA6"/>
    <w:rsid w:val="00236629"/>
    <w:rsid w:val="0023759F"/>
    <w:rsid w:val="002801E1"/>
    <w:rsid w:val="00280566"/>
    <w:rsid w:val="002A03A5"/>
    <w:rsid w:val="002A345F"/>
    <w:rsid w:val="002A4424"/>
    <w:rsid w:val="002A71CB"/>
    <w:rsid w:val="002B16B3"/>
    <w:rsid w:val="002B38A3"/>
    <w:rsid w:val="002D6572"/>
    <w:rsid w:val="002E1996"/>
    <w:rsid w:val="002E7F21"/>
    <w:rsid w:val="002F484E"/>
    <w:rsid w:val="002F5DCE"/>
    <w:rsid w:val="00302ECB"/>
    <w:rsid w:val="003404F5"/>
    <w:rsid w:val="003478DC"/>
    <w:rsid w:val="00351050"/>
    <w:rsid w:val="003673AC"/>
    <w:rsid w:val="00371663"/>
    <w:rsid w:val="00374566"/>
    <w:rsid w:val="003854C0"/>
    <w:rsid w:val="00385C8E"/>
    <w:rsid w:val="003B2A37"/>
    <w:rsid w:val="003B6B1F"/>
    <w:rsid w:val="003D62A7"/>
    <w:rsid w:val="003E6265"/>
    <w:rsid w:val="003F211A"/>
    <w:rsid w:val="003F2C8B"/>
    <w:rsid w:val="003F3049"/>
    <w:rsid w:val="00414C94"/>
    <w:rsid w:val="00415220"/>
    <w:rsid w:val="004231CC"/>
    <w:rsid w:val="0042370B"/>
    <w:rsid w:val="004338F5"/>
    <w:rsid w:val="00437F37"/>
    <w:rsid w:val="0044672B"/>
    <w:rsid w:val="0046533B"/>
    <w:rsid w:val="0046674A"/>
    <w:rsid w:val="00467114"/>
    <w:rsid w:val="00477D83"/>
    <w:rsid w:val="004901B2"/>
    <w:rsid w:val="004A2E1F"/>
    <w:rsid w:val="004B0670"/>
    <w:rsid w:val="004B35C3"/>
    <w:rsid w:val="004C25CA"/>
    <w:rsid w:val="004C5FFB"/>
    <w:rsid w:val="004D1BB4"/>
    <w:rsid w:val="004D3BDE"/>
    <w:rsid w:val="004F61CA"/>
    <w:rsid w:val="00501177"/>
    <w:rsid w:val="00510B5C"/>
    <w:rsid w:val="00511A87"/>
    <w:rsid w:val="00513BFD"/>
    <w:rsid w:val="005351B6"/>
    <w:rsid w:val="00545C5E"/>
    <w:rsid w:val="00554F21"/>
    <w:rsid w:val="005641E5"/>
    <w:rsid w:val="00572BF2"/>
    <w:rsid w:val="0057777D"/>
    <w:rsid w:val="005B100C"/>
    <w:rsid w:val="005C3777"/>
    <w:rsid w:val="005C6788"/>
    <w:rsid w:val="005D2225"/>
    <w:rsid w:val="00602D93"/>
    <w:rsid w:val="006037B9"/>
    <w:rsid w:val="00607CC8"/>
    <w:rsid w:val="00612708"/>
    <w:rsid w:val="00636CA3"/>
    <w:rsid w:val="00640403"/>
    <w:rsid w:val="006511CC"/>
    <w:rsid w:val="00661B19"/>
    <w:rsid w:val="0066201B"/>
    <w:rsid w:val="00662529"/>
    <w:rsid w:val="00662E28"/>
    <w:rsid w:val="00671EDB"/>
    <w:rsid w:val="00674DB3"/>
    <w:rsid w:val="006814A9"/>
    <w:rsid w:val="006C348A"/>
    <w:rsid w:val="006C73C3"/>
    <w:rsid w:val="006E26A6"/>
    <w:rsid w:val="006F7A1A"/>
    <w:rsid w:val="00704A8E"/>
    <w:rsid w:val="00720622"/>
    <w:rsid w:val="00723F95"/>
    <w:rsid w:val="00742381"/>
    <w:rsid w:val="00750E2E"/>
    <w:rsid w:val="00774BDF"/>
    <w:rsid w:val="00786571"/>
    <w:rsid w:val="00786CE7"/>
    <w:rsid w:val="007B5E07"/>
    <w:rsid w:val="007C4456"/>
    <w:rsid w:val="007C51EB"/>
    <w:rsid w:val="007F647D"/>
    <w:rsid w:val="0080646C"/>
    <w:rsid w:val="0081436E"/>
    <w:rsid w:val="008478C9"/>
    <w:rsid w:val="00854BAA"/>
    <w:rsid w:val="00856892"/>
    <w:rsid w:val="008A1BEC"/>
    <w:rsid w:val="008A383A"/>
    <w:rsid w:val="008A3FC7"/>
    <w:rsid w:val="008B4DB5"/>
    <w:rsid w:val="008B72D3"/>
    <w:rsid w:val="008C783F"/>
    <w:rsid w:val="008D340B"/>
    <w:rsid w:val="00930547"/>
    <w:rsid w:val="00930921"/>
    <w:rsid w:val="00943071"/>
    <w:rsid w:val="00950547"/>
    <w:rsid w:val="00961D4E"/>
    <w:rsid w:val="00967F7A"/>
    <w:rsid w:val="0098401B"/>
    <w:rsid w:val="009B1EFF"/>
    <w:rsid w:val="009C3020"/>
    <w:rsid w:val="009D73F7"/>
    <w:rsid w:val="009F6CE1"/>
    <w:rsid w:val="00A03931"/>
    <w:rsid w:val="00A04147"/>
    <w:rsid w:val="00A13305"/>
    <w:rsid w:val="00A21007"/>
    <w:rsid w:val="00A22C4D"/>
    <w:rsid w:val="00A233E0"/>
    <w:rsid w:val="00A26117"/>
    <w:rsid w:val="00A34312"/>
    <w:rsid w:val="00A56ED9"/>
    <w:rsid w:val="00A738C2"/>
    <w:rsid w:val="00A832B9"/>
    <w:rsid w:val="00A83D7B"/>
    <w:rsid w:val="00A84836"/>
    <w:rsid w:val="00A84C23"/>
    <w:rsid w:val="00A84DB3"/>
    <w:rsid w:val="00A9126B"/>
    <w:rsid w:val="00AA1F3D"/>
    <w:rsid w:val="00AB1156"/>
    <w:rsid w:val="00AB558E"/>
    <w:rsid w:val="00AE3FE1"/>
    <w:rsid w:val="00AE4104"/>
    <w:rsid w:val="00B11445"/>
    <w:rsid w:val="00B15A26"/>
    <w:rsid w:val="00B55232"/>
    <w:rsid w:val="00B60E3A"/>
    <w:rsid w:val="00B64D65"/>
    <w:rsid w:val="00B92591"/>
    <w:rsid w:val="00B9418E"/>
    <w:rsid w:val="00B96FB4"/>
    <w:rsid w:val="00BB0E96"/>
    <w:rsid w:val="00BC10CA"/>
    <w:rsid w:val="00BC5EF2"/>
    <w:rsid w:val="00BD2CD3"/>
    <w:rsid w:val="00C0101B"/>
    <w:rsid w:val="00C01904"/>
    <w:rsid w:val="00C01FEB"/>
    <w:rsid w:val="00C0446E"/>
    <w:rsid w:val="00C05316"/>
    <w:rsid w:val="00C10331"/>
    <w:rsid w:val="00C31BA7"/>
    <w:rsid w:val="00C41254"/>
    <w:rsid w:val="00C62B54"/>
    <w:rsid w:val="00C655E2"/>
    <w:rsid w:val="00C8469B"/>
    <w:rsid w:val="00CB2ACB"/>
    <w:rsid w:val="00CB69D8"/>
    <w:rsid w:val="00CD1F69"/>
    <w:rsid w:val="00CD2613"/>
    <w:rsid w:val="00CD3C98"/>
    <w:rsid w:val="00CF0FE9"/>
    <w:rsid w:val="00D14C60"/>
    <w:rsid w:val="00D37335"/>
    <w:rsid w:val="00D50EE2"/>
    <w:rsid w:val="00D57B82"/>
    <w:rsid w:val="00D70905"/>
    <w:rsid w:val="00DA32BC"/>
    <w:rsid w:val="00DA48C3"/>
    <w:rsid w:val="00DE4B2C"/>
    <w:rsid w:val="00DE71F0"/>
    <w:rsid w:val="00DE7706"/>
    <w:rsid w:val="00E1715D"/>
    <w:rsid w:val="00E32F30"/>
    <w:rsid w:val="00E33FCF"/>
    <w:rsid w:val="00E40611"/>
    <w:rsid w:val="00E41427"/>
    <w:rsid w:val="00E43187"/>
    <w:rsid w:val="00E540E3"/>
    <w:rsid w:val="00E93257"/>
    <w:rsid w:val="00EA0912"/>
    <w:rsid w:val="00EA6206"/>
    <w:rsid w:val="00EB0BE2"/>
    <w:rsid w:val="00EC489C"/>
    <w:rsid w:val="00ED6A64"/>
    <w:rsid w:val="00EE50D2"/>
    <w:rsid w:val="00EF208B"/>
    <w:rsid w:val="00EF5CB4"/>
    <w:rsid w:val="00F0741E"/>
    <w:rsid w:val="00F379D2"/>
    <w:rsid w:val="00F4770D"/>
    <w:rsid w:val="00F521CA"/>
    <w:rsid w:val="00F63293"/>
    <w:rsid w:val="00F90B27"/>
    <w:rsid w:val="00FA39C2"/>
    <w:rsid w:val="00FA44C1"/>
    <w:rsid w:val="00FB2940"/>
    <w:rsid w:val="00FB6F5E"/>
    <w:rsid w:val="00FE4E6E"/>
    <w:rsid w:val="00FF2337"/>
    <w:rsid w:val="00FF2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11D42"/>
  <w15:chartTrackingRefBased/>
  <w15:docId w15:val="{715D5059-6D67-4440-BAC0-19E9151C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D00"/>
    <w:pPr>
      <w:ind w:firstLine="0"/>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8A383A"/>
    <w:pPr>
      <w:keepNext/>
      <w:keepLines/>
      <w:spacing w:before="240"/>
      <w:outlineLvl w:val="0"/>
    </w:pPr>
    <w:rPr>
      <w:rFonts w:eastAsiaTheme="majorEastAsia" w:cstheme="majorBidi"/>
      <w:b/>
      <w:color w:val="4472C4" w:themeColor="accent1"/>
      <w:sz w:val="36"/>
      <w:szCs w:val="32"/>
    </w:rPr>
  </w:style>
  <w:style w:type="paragraph" w:styleId="Heading2">
    <w:name w:val="heading 2"/>
    <w:basedOn w:val="Normal"/>
    <w:next w:val="Normal"/>
    <w:link w:val="Heading2Char"/>
    <w:uiPriority w:val="9"/>
    <w:unhideWhenUsed/>
    <w:qFormat/>
    <w:rsid w:val="008A383A"/>
    <w:pPr>
      <w:keepNext/>
      <w:keepLines/>
      <w:spacing w:before="40"/>
      <w:outlineLvl w:val="1"/>
    </w:pPr>
    <w:rPr>
      <w:rFonts w:eastAsiaTheme="majorEastAsia" w:cstheme="majorBidi"/>
      <w:i/>
      <w:color w:val="4472C4" w:themeColor="accent1"/>
      <w:sz w:val="32"/>
      <w:szCs w:val="26"/>
    </w:rPr>
  </w:style>
  <w:style w:type="paragraph" w:styleId="Heading3">
    <w:name w:val="heading 3"/>
    <w:basedOn w:val="Normal"/>
    <w:next w:val="Normal"/>
    <w:link w:val="Heading3Char"/>
    <w:uiPriority w:val="9"/>
    <w:unhideWhenUsed/>
    <w:qFormat/>
    <w:rsid w:val="00B64D65"/>
    <w:pPr>
      <w:keepNext/>
      <w:keepLines/>
      <w:spacing w:before="40"/>
      <w:ind w:left="720"/>
      <w:outlineLvl w:val="2"/>
    </w:pPr>
    <w:rPr>
      <w:rFonts w:eastAsiaTheme="majorEastAsia" w:cstheme="majorBidi"/>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3C82"/>
    <w:pPr>
      <w:contextualSpacing/>
    </w:pPr>
    <w:rPr>
      <w:rFonts w:eastAsiaTheme="majorEastAsia" w:cstheme="majorBidi"/>
      <w:b/>
      <w:color w:val="1F3864" w:themeColor="accent1" w:themeShade="80"/>
      <w:spacing w:val="-10"/>
      <w:kern w:val="28"/>
      <w:sz w:val="40"/>
      <w:szCs w:val="56"/>
    </w:rPr>
  </w:style>
  <w:style w:type="character" w:customStyle="1" w:styleId="TitleChar">
    <w:name w:val="Title Char"/>
    <w:basedOn w:val="DefaultParagraphFont"/>
    <w:link w:val="Title"/>
    <w:uiPriority w:val="10"/>
    <w:rsid w:val="00063C82"/>
    <w:rPr>
      <w:rFonts w:ascii="Times New Roman" w:eastAsiaTheme="majorEastAsia" w:hAnsi="Times New Roman" w:cstheme="majorBidi"/>
      <w:b/>
      <w:color w:val="1F3864" w:themeColor="accent1" w:themeShade="80"/>
      <w:spacing w:val="-10"/>
      <w:kern w:val="28"/>
      <w:sz w:val="40"/>
      <w:szCs w:val="56"/>
      <w14:ligatures w14:val="none"/>
    </w:rPr>
  </w:style>
  <w:style w:type="character" w:styleId="LineNumber">
    <w:name w:val="line number"/>
    <w:basedOn w:val="DefaultParagraphFont"/>
    <w:uiPriority w:val="99"/>
    <w:semiHidden/>
    <w:unhideWhenUsed/>
    <w:rsid w:val="00155D00"/>
  </w:style>
  <w:style w:type="character" w:customStyle="1" w:styleId="Heading1Char">
    <w:name w:val="Heading 1 Char"/>
    <w:basedOn w:val="DefaultParagraphFont"/>
    <w:link w:val="Heading1"/>
    <w:uiPriority w:val="9"/>
    <w:rsid w:val="008A383A"/>
    <w:rPr>
      <w:rFonts w:ascii="Times New Roman" w:eastAsiaTheme="majorEastAsia" w:hAnsi="Times New Roman" w:cstheme="majorBidi"/>
      <w:b/>
      <w:color w:val="4472C4" w:themeColor="accent1"/>
      <w:kern w:val="0"/>
      <w:sz w:val="36"/>
      <w:szCs w:val="32"/>
      <w14:ligatures w14:val="none"/>
    </w:rPr>
  </w:style>
  <w:style w:type="character" w:styleId="CommentReference">
    <w:name w:val="annotation reference"/>
    <w:basedOn w:val="DefaultParagraphFont"/>
    <w:uiPriority w:val="99"/>
    <w:semiHidden/>
    <w:unhideWhenUsed/>
    <w:rsid w:val="009F6CE1"/>
    <w:rPr>
      <w:sz w:val="16"/>
      <w:szCs w:val="16"/>
    </w:rPr>
  </w:style>
  <w:style w:type="paragraph" w:styleId="CommentText">
    <w:name w:val="annotation text"/>
    <w:basedOn w:val="Normal"/>
    <w:link w:val="CommentTextChar"/>
    <w:uiPriority w:val="99"/>
    <w:unhideWhenUsed/>
    <w:rsid w:val="009F6CE1"/>
    <w:rPr>
      <w:sz w:val="20"/>
      <w:szCs w:val="20"/>
    </w:rPr>
  </w:style>
  <w:style w:type="character" w:customStyle="1" w:styleId="CommentTextChar">
    <w:name w:val="Comment Text Char"/>
    <w:basedOn w:val="DefaultParagraphFont"/>
    <w:link w:val="CommentText"/>
    <w:uiPriority w:val="99"/>
    <w:rsid w:val="009F6CE1"/>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F6CE1"/>
    <w:rPr>
      <w:b/>
      <w:bCs/>
    </w:rPr>
  </w:style>
  <w:style w:type="character" w:customStyle="1" w:styleId="CommentSubjectChar">
    <w:name w:val="Comment Subject Char"/>
    <w:basedOn w:val="CommentTextChar"/>
    <w:link w:val="CommentSubject"/>
    <w:uiPriority w:val="99"/>
    <w:semiHidden/>
    <w:rsid w:val="009F6CE1"/>
    <w:rPr>
      <w:rFonts w:ascii="Times New Roman" w:hAnsi="Times New Roman"/>
      <w:b/>
      <w:bCs/>
      <w:kern w:val="0"/>
      <w:sz w:val="20"/>
      <w:szCs w:val="20"/>
      <w14:ligatures w14:val="none"/>
    </w:rPr>
  </w:style>
  <w:style w:type="character" w:customStyle="1" w:styleId="Heading2Char">
    <w:name w:val="Heading 2 Char"/>
    <w:basedOn w:val="DefaultParagraphFont"/>
    <w:link w:val="Heading2"/>
    <w:uiPriority w:val="9"/>
    <w:rsid w:val="008A383A"/>
    <w:rPr>
      <w:rFonts w:ascii="Times New Roman" w:eastAsiaTheme="majorEastAsia" w:hAnsi="Times New Roman" w:cstheme="majorBidi"/>
      <w:i/>
      <w:color w:val="4472C4" w:themeColor="accent1"/>
      <w:kern w:val="0"/>
      <w:sz w:val="32"/>
      <w:szCs w:val="26"/>
      <w14:ligatures w14:val="none"/>
    </w:rPr>
  </w:style>
  <w:style w:type="character" w:customStyle="1" w:styleId="Heading3Char">
    <w:name w:val="Heading 3 Char"/>
    <w:basedOn w:val="DefaultParagraphFont"/>
    <w:link w:val="Heading3"/>
    <w:uiPriority w:val="9"/>
    <w:rsid w:val="00B64D65"/>
    <w:rPr>
      <w:rFonts w:ascii="Times New Roman" w:eastAsiaTheme="majorEastAsia" w:hAnsi="Times New Roman" w:cstheme="majorBidi"/>
      <w:i/>
      <w:color w:val="000000" w:themeColor="text1"/>
      <w:kern w:val="0"/>
      <w:sz w:val="24"/>
      <w:szCs w:val="24"/>
      <w14:ligatures w14:val="none"/>
    </w:rPr>
  </w:style>
  <w:style w:type="table" w:styleId="TableGrid">
    <w:name w:val="Table Grid"/>
    <w:basedOn w:val="TableNormal"/>
    <w:uiPriority w:val="39"/>
    <w:rsid w:val="00554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7F7A"/>
    <w:pPr>
      <w:ind w:left="720"/>
      <w:contextualSpacing/>
    </w:pPr>
    <w:rPr>
      <w:rFonts w:ascii="Optima" w:hAnsi="Optima"/>
    </w:rPr>
  </w:style>
  <w:style w:type="paragraph" w:styleId="Revision">
    <w:name w:val="Revision"/>
    <w:hidden/>
    <w:uiPriority w:val="99"/>
    <w:semiHidden/>
    <w:rsid w:val="004B0670"/>
    <w:pPr>
      <w:ind w:firstLine="0"/>
    </w:pPr>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97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8</Pages>
  <Words>2671</Words>
  <Characters>15229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Totton</dc:creator>
  <cp:keywords/>
  <dc:description/>
  <cp:lastModifiedBy>Sarah Totton</cp:lastModifiedBy>
  <cp:revision>14</cp:revision>
  <dcterms:created xsi:type="dcterms:W3CDTF">2024-12-18T19:28:00Z</dcterms:created>
  <dcterms:modified xsi:type="dcterms:W3CDTF">2024-12-23T13:46:00Z</dcterms:modified>
</cp:coreProperties>
</file>